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长春市优化营商环境条例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（2023年10月27日长春市第十六届人民代表大会常务委员会第十二次会议通过　2023年12月1日吉林省第十四届人民代表大会常务委员会第七次会议批准　根据2024年2月7日长春市第十六届人民代表大会常务委员会第十五次会议通过　2024年3月28日吉林省第十四届人民代表大会常务委员会第十次会议批准的《长春市人民代表大会常务委员会关于修改和废止</w:t>
      </w:r>
      <w:r>
        <w:rPr>
          <w:rFonts w:hint="eastAsia" w:ascii="Times New Roman" w:hAnsi="Times New Roman" w:eastAsia="楷体_GB2312"/>
          <w:sz w:val="32"/>
        </w:rPr>
        <w:t>〈</w:t>
      </w:r>
      <w:r>
        <w:rPr>
          <w:rFonts w:ascii="Times New Roman" w:hAnsi="Times New Roman" w:eastAsia="楷体_GB2312"/>
          <w:sz w:val="32"/>
        </w:rPr>
        <w:t>长春市森林资源管理条例</w:t>
      </w:r>
      <w:r>
        <w:rPr>
          <w:rFonts w:hint="eastAsia" w:ascii="Times New Roman" w:hAnsi="Times New Roman" w:eastAsia="楷体_GB2312"/>
          <w:sz w:val="32"/>
        </w:rPr>
        <w:t>〉</w:t>
      </w:r>
      <w:r>
        <w:rPr>
          <w:rFonts w:ascii="Times New Roman" w:hAnsi="Times New Roman" w:eastAsia="楷体_GB2312"/>
          <w:sz w:val="32"/>
        </w:rPr>
        <w:t>等8件地方性法规的决定》修正）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政务环境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要素环境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人文环境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法治环境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监督保障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为了优化营商环境，培育壮大经营主体，维护经营主体合法权益，激发经营主体活力，推动经济社会高质量发展，根据有关法律、法规，结合本市实际，制定本条例。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本市行政区域内优化营商环境工作，适用本条例。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本条例所称营商环境，是指企业等经营主体在市场经济活动中所涉及的体制机制性因素和条件。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优化营商环境应当坚持市场化、法治化、国际化原则，以经营主体需求为导向，以深刻转变政府职能为核心，创新体制机制、强化协同联动、完善法治保障，对标国内国际先进水平，为各类经营主体投资兴业营造稳定、公平透明、可预期的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市、县（市）区人民政府应当加强对优化营商环境工作的领导，完善政策措施，建立健全综合协调机制，及时协调解决优化营商环境工作中的重大问题。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乡镇人民政府、街道办事处在职责范围内做好优化营商环境工作。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开发区管理机构根据授权，负责本辖区内优化营商环境工作。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市、县（市）区营商环境建设工作机构负责本行政区域内优化营商环境工作的指导服务、监督检查，以及损害营商环境问题的处理工作。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其他有关部门和单位应当在各自职责范围内，依法做好优化营商环境有关工作。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市、县（市）区人民政府和有关部门应当结合实际，探索优化营商环境创新做法。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鼓励在创新示范区和开发区等区域内开展先行先试，创造可复制可推广的优化营商环境做法。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市、县（市）区人民政府应当将优化营商环境工作纳入政府绩效考核内容，健全优化营商环境工作奖惩机制，完善考核标准，对工作成效显著的单位和个人按照国家和省有关规定给予表彰和奖励。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每年春节假期后的第一周为“长春营商环境宣传周”，市、县（市）区人民政府应当通过宣传、对话、招商、服务等活动，营造良好营商环境氛围。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市场环境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市、县（市）区人民政府及其有关部门应当按照国家规定执行统一的市场准入负面清单制度。市场准入负面清单以外的领域，各类经营主体均可以依法平等进入。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市、县（市）区人民政府按照城市功能定位、发展规划以及环保安全等相关规定，制定产业引导政策并向社会公开。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市、县（市）区人民政府有关部门应当优化经营主体登记办理流程，实行营业执照申领与社保登记、住房公积金登记、印章制作、发票领用等合并办理，推行当场办结、一次办结、限时办结等制度。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市、县（市）区有关部门应当优化经营主体跨县（市）区迁移服务措施，及时办理变更登记手续，除法律、法规规定外不得以任何形式限再重复办理。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经营主体申请注销登记的，市场监管、税务等部门应当同步办理、一次办结。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政府应当按照国家“证照分离”改革要求，对所有涉企经营许可事项进行分类管理，为企业取得营业执照后开展相关经营活动，提供便利。除法律、行政法规规定的特定领域外，涉企经营许可事项不得作为企业等经营主体登记的前置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管部门应当根据企业等经营主体自主申报的经营范围，明确告知需要办理的许可事项，同时将需要申请许可的经营主体信息告知相关主管部门。相关主管部门应当依经营主体申请及时办理涉企经营许可事项，并将办理结果即时反馈市场监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推进经营主体年度报告涉及社保、市场监管、税务等事项的“多报合一”改革。经营主体提交的年度报告涉及政府有关部门已有的信息，政府有关部门应当共享，经营主体无需重复提交。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公共资源交易实施目录管理，完善分类统一的交易制度，提升资源配置的效率和效益；建立健全公共资源交易公共服务统一平台，发布各类公共资源交易信息；优化招标投标流程，推行招标投标全流程电子化。招标人、招标代理机构不得因使用电子招标投标方式，额外向投标人收取费用或者增加潜在投标人参与投标的难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采购和招标投标等公共资源交易活动，应当公开透明、公平公正，保障各类经营主体依法平等参与。不得违规设置与业务能力无关和明显超过项目实际需要的条件，不得违规设立各类预选供应商、预选承包商名录或者以其他任何形式排斥、限制潜在投标人或者供应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市、县（市）区人民政府应当加大对中小投资者权益的保护力度，完善中小投资者权益保护机制，提升中小投资者维护合法权益的便利度，依法保障中小投资者的知情权、参与权等合法权利。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对政府性基金、涉企行政事业性收费、涉企保证金以及实行政府定价的经营服务性收费，实行目录清单管理并向社会公开，目录清单之外的费用和保证金，一律不得执行。推广以金融机构保函替代现金缴纳涉企保证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区人民政府及其有关部门、乡镇人民政府、街道办事处应当履行向经营主体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经营主体受到的损失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人民政府应当完善拖欠账款清理机制。加大对国家机关、事业单位拖欠经营主体账款的清理力度，并通过加强预算管理、严格责任追究等措施，建立防范和治理国家机关、事业单位拖欠经营主体账款的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国家机关、事业单位不得以内部人员变更，履行内部付款流程或者在合同未作约定情况下以等待竣工验收批复、决算审计等为由，拒绝或者延迟支付经营主体款项。大型企业不得利用优势地位拖欠中小企业账款。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第十八条</w:t>
      </w:r>
      <w:r>
        <w:rPr>
          <w:rFonts w:ascii="仿宋_GB2312" w:hAnsi="仿宋_GB2312" w:eastAsia="仿宋_GB2312"/>
          <w:sz w:val="32"/>
        </w:rPr>
        <w:t>　市、县（市）区人民政府和有关部门应当构建亲清政商关系，建立政企沟通机制，可以通过下列方式听取有关企业等经营主体意见建议，帮助解决发展中的重大问题</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（一）在官方网站、官方微博和微信公众号与经营主体交流；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（二）向经营主体通报经济运行等情况；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（三）邀请企业家开展调研；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（四）组织经营主体和行业协会、商会参加旨在推广企业产品或者服务的展销会、推介会等经贸交流活动；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（五）组织经营主体和行业协会、商会相关人员参加政策宣传、产业提升、人才培养和推广应用新技术、新模式等培训活动；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（六）应邀参加经营主体和行业协会、商会举办的座谈会、年会等活动；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（七）组织或者应邀参加旨在帮助经营主体解决发展中重大问题的其他活动。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培育发展各类行业协会、商会，支持行业协会、商会加强行业自律，及时反映行业诉求，参与制定和推广实施符合高质量发展要求的行业发展标准、技术服务标准，为经营主体提供信息咨询、宣传培训、市场拓展、权益保护、纠纷处理以及人才评价等方面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市、县（市）区人民政府及其有关部门应当建立健全突发事件涉企应急救助机制，采取下列措施，保障经营主体合法权益，维护生产经营秩序稳定：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（一）建立突发事件动态分析评估和反馈机制，对易遭遇风险的行业制定应急预案；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（二）组织评估突发事件对本地区经济和重点行业的影响，根据评估结果制定实施救助、补偿、补贴、安置等措施；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（三）鼓励金融机构给予延期还贷、展期续贷、降低利率和减免利息支持；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（四）鼓励经营主体采取调整薪酬、弹性工时、轮岗轮休等方式，稳定劳动关系、维持运行并及时复工复产；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（五）严格执行国家、省市助企纾困政策。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突发事件处置中临时征用经营主体的动产或者不动产的，应当依法给予补偿，并及时返还。因突发事件影响证照审批、延续、变更、换发等事项办理的，根据实际情况合理延期。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市、县（市）区人民政府应当依法统一、准确、及时发布有关突发事件事态发展和应急处置信息。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政务环境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市、县（市）区人民政府应当将所属部门及乡镇人民政府、街道办事处行使的行政职权及其依据、行使主体、运行流程和相应责任，以权责清单形式在政府网站等载体公布（涉密权责事项除外）。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市）区人民政府及其有关部门应当依法设定证明事项，编制并公布证明事项清单，列明设定依据、开具单位、办理指南等。未纳入证明事项清单以及已经录入政务共享信息系统的证明事项，不得要求经营主体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禁止违法增加证明事项和证明材料，提高证明要求。禁止将政府部门的核查义务转嫁给经营主体。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编制市、县（市）区、乡镇（街道）三级政务服务事项清单和办事指南，通过在线政务服务平台、移动终端、线下政务服务机构等渠道发布并及时更新。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市、县（市）区人民政府有关部门及其工作人员应当按照有利于经营主体的原则办理政务服务事项，并遵守下列规定：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（一）按照办事指南的规定办理政务服务事项，不得对经营主体提出办事指南规定以外的要求；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（二）能够通过政府部门之间信息共享获取的材料，不得要求经营主体提供；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（三）需要进行现场踏勘、现场核查、技术审查、听证论证的，应当在规定时限内及时安排，不得推诿、拖延；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（四）同一政务服务事项在同等情况下，应当同标准受理、同标准办理，不得差别对待；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（五）不得与经营主体有任何影响依法履职的交往。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市、县（市）区人民政府应当建立市、县（市）区、乡镇（街道）、村（社区）四级政务服务体系，市、县（市）区设立政务服务中心和分中心，乡镇（街道）设立便民服务中心，村（社区）设立便民服务站。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建立政务服务中心进驻事项负面清单制度，除场地限制或者涉及国家秘密等情形外，政务服务事项均应纳入政务服务中心集中办理。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有关部门单独设立的服务场所作为本级政务服务中心的分中心纳入本级政务服务中心一体化管理，分中心主管部门履行管理主体责任，并按照统一要求提供规范化服务。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应当加强政务服务窗口规范化设置。政务大厅设置综合咨询窗口，统一提供咨询、引导等服务；设置综合办事窗口，实行“前台综合受理、后台分类审批、统一窗口出证”模式；设置帮办代办窗口，为老年人、残疾人等特殊群体提供帮办代办服务；政务服务中心和分中心设置“办不成事”反映窗口，解决经营主体办事过程中遇到的疑难事项和复杂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依托省一体化在线政务服务平台，推进跨层级、跨地域、跨系统、跨部门、跨业务数据共享和业务协同，实行政务服务事项“一网通办”，实现网上直办、就近能办、同城通办、异地可办。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市、县（市）区人民政府及其有关部门和单位在政务服务中推广使用电子证照、电子印章、电子签名。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电子证照和加盖电子印章或者使用符合《中华人民共和国电子签名法》要求的电子签名进行确认的电子材料，与实体材料具有同等效力，有关单位不得拒绝办理。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有关部门应当按照统一的标准，向本级政务数据主管部门归集数据，实现政务数据的共享交换和开放应用。在办理政务服务、公用事业服务事项时，应当优先应用政务共享数据。可以通过信息共享获取的数据，不得要求经营主体重复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市）区人民政府及其有关部门应当按照最大限度利企便民原则梳理可采取告知承诺制方式的政务服务事项，明确承诺的具体内容、要求以及违反承诺应承担的法律责任，细化办事承诺方式和承诺事项监管细则，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市、县（市）区人民政府及其有关部门应当依法建立政务服务事项容缺后补机制，制定并公布容缺受理事项清单。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基本条件具备、主要申请材料齐全且符合法定形式，但可容缺受理材料欠缺的办理事项申请，申请人作出相应承诺后，有关部门应当先予收件受理，并当场一次性告知需要补正的材料、形式、时限等。申请人按要求补正材料后，有关部门应当及时出具办理结果意见，颁发相关批文、证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市、县（市）区人民政府应当将惠企惠民政策事项纳入政务服务事项管理，在市、县（市）区政务服务中心或者市政策直达平台实施集成服务。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推动惠企惠民政策“直达快享”“免申即享”。通过政府部门信息共享等方式，实现符合条件的经营主体免予申报、直接享受政策。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市、县（市）区人民政府及其有关部门制定惠企惠民政策应当充分听取相关领域企业等经营主体、行业协会、商会及社会公众意见，专业性较强的应当组织专家进行论证，并对政策实施情况进行评估。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市、县（市）区政务服务主管部门应当组织有关部门对惠企惠民政策中涉及的缓交缓缴以及奖励、资助、补贴、荣誉、资格等事项进行梳理，编制政策兑现事项清单和办事指南，并向社会公布。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在开发区和有条件的地区推行区域评估制度，推行由政府统一组织开展区域环境影响、土地勘测、矿产压覆、地质灾害、水土保持、文物保护、洪水影响、地震安全性、气候可行性、节能评价等评估工作。经营主体在已经完成区域评估的区域建设工程项目的，不再单独开展上述评估，国家、省市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人民政府应当按照国家有关规定，优化工程建设项目（不包括特殊工程和交通、水利、能源等领域的重大工程）审批流程，实现全流程网上办理，推行并联审批、多图联审、多测合一、市政公用联合报装、联合验收等方式，提高审批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推进经营主体办理水、电、气、热、通信等一站式服务改革，简化办理流程，压减申报材料，压缩办理时间，推动报装业务全流程网上办理，推行电子账单、电子发票。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在城镇规划建设用地范围内，经营主体报装水、电、气、热、通信需要在建筑区划红线外新增配套设施建设的，除法律、法规另有规定外，不得由用户承担建筑区划红线外发生的任何费用。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公用事业服务单位应当加强对经营主体服务的质量和安全保障，违约拒绝或者中断服务的，应当根据服务合同承担赔偿责任。相关部门应当建立水、电、气、热、通信供应可靠性、安全性的管制措施。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不动产登记机构应当按照国家有关规定，压缩办理时间，优化办理流程，实行不动产登记、交易和缴税一窗受理，不动产转移登记与水、电、气、过户协同办理，提供不动产登记信息网上查询和现场自助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推广“互联网+不动产登记”，推行线上申请，提供网上查询、网上支付和网上开具电子证明的服务。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市、县（市）区人民政府应当建立项目管家制度。对重要的招商引资项目，可以指定专人全程服务，及时协调并帮助解决项目审批、建设和生产经营中的相关问题，帮助经营主体在项目实施过程中提高办事效率。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市人民政府应当建立政务服务机构、政务服务平台、政务服务热线“好差评”制度，实现政务服务事项、评价对象、服务渠道全覆盖，确保每个政务服务事项均可评价。具体办法由市人民政府另行制定。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市人民政府应当编制行政审批中介服务事项清单，并向社会公布。凡未列入清单的中介服务事项，不得作为审批的受理条件。不得将政务服务事项转为中介服务事项。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中介服务机构应当明确办理法定行政审批中介服务的条件、流程、时限、收费标准，并向社会公开，不得出具虚假证明或者报告。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有关部门不得强制经营主体选择特定中介服务机构。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要素环境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市、县（市）区人民政府及其有关部门应当推进土地、人力资源、资本、技术、数据等要素市场化配置改革，健全要素市场运行机制，完善要素交易规则和服务体系，促进要素自由流动，提高要素配置效率。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县（市）区人民政府应当充分运用市场机制优化土地资源配置，创新使用方式，推动不同产业用地类型合理转换，探索增加混合产业用地供给。严格落实节约集约用地制度，完善土地储备制度，加强土地利用年度计划和土地供应计划管理，优化用地审批供应方式，提高项目用地审批供应效率，有效保障重点建设项目、基础设施项目和民生工程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市、县（市）区人民政府应当加强公共基础设施规划和建设，为经营主体创造良好的生产经营环境。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市、县（市）区人民政府应当加强数据资源整合和安全保护。探索建立统一规范的数据管理制度，提高数据质量和规范性，丰富数据产品，加强对政务数据、企业商业秘密和个人数据的保护。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县（市）区人民政府应当培育和发展数字经济新产业、新业态和新模式，支持构建农业、工业、商业、交通、文化、金融、能源、城市管理、公共服务等领域基础支撑平台和应用系统，引导数字经济和实体经济深度融合，构建数字经济的生态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部门应当加强政策引导，推动公共数据、企业数据、个人数据等领域数据采集、应用规范化，推动数据要素流通体制机制研究和先行先试，引导培育数据交易市场，建立健全数据资源交易机制和定价机制，保护数据产品所有人、使用人依法获得数据产品的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支持经营主体建设产业互联网平台，为产业数字化应用提供数据、数字化产品、数字化服务等要素支撑，运用数字化手段，实现产业链上下游协同合作。构建产业运行监测体系，建立产业发展风险预警和应对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市、县（市）区人民政府及其有关部门在依法、风险可控的前提下，可以采取下列措施，畅通经营主体融资渠道，降低经营主体融资成本：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（一）加强公益性融资服务平台建设，提供线上化、智能化、批量化融资对接服务；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（二）推动市公共数据运营服务平台、市公共信用信息平台向金融机构共享公共数据；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（三）完善普惠金融体系，构建中小微企业金融服务机制；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（四）完善以政府为主导的融资担保体系，鼓励政府性融资担保、再担保机构与商业性融资担保机构合作开展中小微企业融资担保业务，完善融资担保风险分担机制；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（五）鼓励符合条件的企业通过境内外资本市场上市、发行债券等方式，扩大融资规模；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（六）其他融资引导措施。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鼓励金融机构在依法、风险可控的前提下，采取下列措施，创新金融产品，优化融资流程，提高融资效率，降低融资成本：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（一）对信用良好且符合条件的民营企业、中小微企业提供免担保、利率优惠、审批快捷的融资服务，按市场化原则合理增加中长期信贷投放；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（二）通过动产、知识产权、股权、保单、订单质押以及应收账款保理等融资担保形式，拓展经营主体融资渠道；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（三）加强与科技企业合作，运用金融科技手段为经营主体提供融资便利；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（四）其他金融创新措施。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商业银行等金融机构应当依法开展金融服务，规范收费行为，接受社会监督，不得实施下列行为：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（一）未按规定向社会公开开设企业账户的服务标准、资费标准和办理时限；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（二）向经营主体违规收取服务费用；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（三）在授信中对民营企业和中小微企业设置歧视性规定或者限制性条件；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（四）设置其他不合理的限制条件。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完善科技创新资金投入机制，支持科技金融产品创新，探索科研项目经费制度改革，促进技术研发和科研成果转化。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及其有关部门应当完善对经营主体创新创业的扶持激励政策，统筹安排各类支持创新创业的资金，加强各类创业孵化基地、科技孵化器和众创空间建设，完善配套服务，降低经营主体创新创业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市人民政府应当实施创新型企业培育工程，强化企业在科技创新决策、研发投入、科研组织、成果转化等方面主体地位，推进产学研协同创新，培育一批核心技术能力突出、集成创新能力强的创新型领军企业。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市人民政府应当促进技术市场平台建设，统筹战略科技力量，汇聚科技创新资源，加强平台建设系统布局和功能整合，提升科技创新平台集聚效应，打造以国家级、省级重大平台为主要牵引的科技创新平台体系，全力推进知识创新、技术创新、协同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市人民政府应当推进科技创新全链条的科技服务体系建设，创新科技服务模式，引进新型科技服务主体，建设科技服务新场景。推动科技咨询、科技评估服务、科技成果评价、科技检验检测、科技信息分析处理、科技大数据服务、科技文献服务等科技服务业集聚发展，加速形成农业科技、生物医药、文化创意、光电、新一代信息、服务外包产业等科技服务新兴业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支持技术市场平台发展，培育一批先进科技服务机构，加速融入全国性技术交易市场，推动与其他地区技术交易市场互联互通。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鼓励和支持企业自主研发和自主创新，加大知识产权的投入，投保知识产权保险。推广和促进知识产权成果转化，依法保护企业知识产权及其成果转化收益，促进和提高企业运用、管理和保护知识产权的能力。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知识产权主管部门应当构建知识产权公共服务体系，建立健全知识产权保护体系；探索创建知识产权跨境交易平台，为企业提供知识产权管理在线服务。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支持开展知识产权质押融资、知识产权证券化等金融创新。专利资产通过融资平台获得融资的，专利许可人支付的属于融资利息的部分，可以依法作为企业财务费用在税前扣除。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市、县（市）区人民政府及其有关部门应当完善人力资源管理服务，促进人力资源合理流动和优化配置，保障经营主体用工稳定。制定符合各类各层次人才成长规律的支持政策，完善人才培养、选拔评价、激励保障等措施，加强人才引进、交流、评价、培训、指导、教育咨询等便利化、专业化服务。结合经营主体需求，完善和落实各类各层次人才落户、住房租购、医疗服务、配偶就业、子女入学、生活补贴等方面的优惠政策。协调帮助企业等经营主体与国内外相关高校对接，支持企业与在长高校建立直接合作关系，鼓励毕业生来长、留长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市、县（市）区人民政府及有关部门应当支持有需求的企业创新用工模式，开展共享用工、灵活用工，通过用工余缺调剂提高人力资源配置效率。建立健全和谐劳动关系的领导协调机制，完善劳动关系群体性事件预防和应急处置机制，畅通劳动者维权渠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人文环境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市、县（市）区人民政府及其有关部门应当树立企业家先进典型，弘扬优秀企业家精神，培养优秀企业家队伍，营造尊重企业家价值、鼓励企业家创新、发挥企业家作用的社会氛围，增强企业家的荣誉感和社会价值感。加强企业家队伍培育，采取多形式开展精准化的政策法规、管理知识、科技创新等培训，全面增强企业家发现机会、整合资源、创造价值、回馈社会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市、县（市）区人民政府及其有关部门应当促进文化繁荣发展，丰富文化产品和服务，提高文化开放与包容度，营造鼓励创新和亲商安商的文化氛围。加强对汽车、电影、冰雪、消夏、森林、雕塑等具有长春特色的文化品牌的保护和宣传，鼓励开发具有长春文化特色的产品和新业态，打造特色鲜明的城市文化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市、县（市）区人民政府应当强化生态文明建设监督保障，持续改善生态环境质量，吸引创新要素集聚。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市、县（市）区人民政府应当根据本行政区域人口、经济社会发展水平，合理设置教育机构、医疗机构、养老机构和托幼机构，提高公共服务水平。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加快构建具有国际竞争力的会展产业体系，完善会展管理机制，加大国际会展的引进培育力度，提高举办国际会展的服务承载能力。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市、县（市）区人民政府应当完善交通基础设施布局，推动区域交通一体化，健全立体式综合交通网络，优化城市交通出行结构，提升交通运输质量、效率、安全度、便捷度。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市、县（市）区人民政府应当加强社会治理工作，提升社会治理能力，完善社会治理体系，建设平安稳定的社会环境。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市人民政府应当进一步提升对外开放水平，强化开放平台引领作用，加快陆港型国家物流枢纽建设，提升经济外向度水平。积极组织投资洽谈会、项目推进会等活动，加强与国内外城市的合作交流，促进要素便捷流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市、县（市）区人民政府及其有关部门应当加强社会信用体系建设，推动信用信息深度开发利用，提升信用服务水平。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法治环境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制定或者修改与经营主体生产经营活动相关的地方性法规、政府规章和行政规范性文件，应当充分听取、合理采纳经营主体和行业协会、商会的意见和建议。严格落实合法性审查机制。没有法律、法规依据的，政府规章和其他规范性文件不得设定减损经营主体权利或者增加其义务的规范，不得设置市场准入和退出条件，不得干预经营主体正常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禁止以备案、登记、年检、监制、认定、认证、审定等形式，变相设定行政许可。禁止以非行政许可审批为名变相设定行政许可。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行政执法机关应当全面落实行政执法公示制度、执法全过程记录制度和重大执法决定法制审核制度，促进严格规范公正文明执法，维护经营主体合法权益。在执法权限范围内，建立健全行政执法自由裁量基准制度，依法细化、量化裁量标准，合理确定裁量范围、种类和幅度，并根据法律、法规、规章的变化情况和执法工作实际及时进行修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实施行政检查应当编制年度行政检查计划，报本级司法行政部门审核，并向社会公开。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行“双随机、一公开”监管制度，除直接涉及公共安全和人民群众生命健康等特殊行业、重点领域外，市场监管领域的行政检查应当通过随机抽取检查对象、随机选派执法检查人员、抽查事项及查处结果及时向社会公开的方式进行。针对同一检查对象的多个检查事项，应当合并或者纳入跨部门联合抽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直接涉及公共安全和人民群众生命健康等特殊行业、重点领域，依法实行全覆盖的重点监管，并严格规范重点监管的程序；对通过投诉举报、转办交办、数据监测等发现的问题，应当有针对性地进行检查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行政执法人员实施行政检查，应当主动出示行政执法证件；不出示行政执法证件的，被检查对象有权拒绝检查。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实施行政检查，不得妨碍经营主体正常的生产经营活动，不得索取或者收受财物，不得为单位和个人谋取利益。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行政执法机关依法制定不予处罚、从轻处罚、减轻处罚和免予行政强制事项清单，并对清单实行动态管理。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及其有关部门应当按照鼓励创新的原则，对新技术、新产业、新业态、新模式等实行包容审慎监管，针对其性质、特点分类制定和实行相应的监管规则和标准，留足发展空间，同时确保质量和安全，不得简单化予以禁止或者不予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经营主体违法行为轻微并及时改正，没有造成危害后果的，依法不予行政处罚。经营主体初次违法且危害后果轻微并及时改正的，依法可以不予行政处罚。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行政执法机关应当编制行政执法事项清单，全面厘清行政执法责任、明确行政执法措施，严格实施清单管理。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市、县（市）区司法行政部门应当加快现代公共法律服务体系建设，整合律师服务、公证、法律援助、司法鉴定、调解、仲裁等法律服务资源，在劳动争议、知识产权、生态环境保护、金融、商事等领域创新法律服务内容、形式和供给模式，提升公共法律服务质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市、县（市）区人民政府应当与人民法院、人民检察院建立健全府院联动工作机制，协调与经营主体生产经营活动密切相关的问题。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依法建立企业破产案件财产处置联动机制，人民法院应当会同国有资产监督管理、人力资源和社会保障、医疗保障、税务、规划和自然资源、公安等有关部门建立破产企业土地、房产、车辆等处置工作规则，提高破产财产处置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财政部门应当安排专项经费，用于保障破产企业管理人依法正常履职，提高无产可破案件审理质效。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完善破产案件信息化平台功能，加强与金融机构系统对接，探索破产资金线上审批和监管，推动建立破产案件全流程网上办理机制。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强化执行难源头治理制度建设，推动完善执行联动机制。人民法院与公安机关等有关部门应当建立被执行人及其车辆查询机制，人民法院执行案件需要查找被执行人或者被执行人的法定代表人、主要负责人、影响债务履行的直接责任人员、实际控制人等人员，或者被执行人车辆的，可以向公安机关提出协助查找需求，公安机关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企业因重整取得的债务重组收入，依照国家有关规定适用企业所得税相关政策。对于破产企业涉及的房产税、城镇土地使用税等，依照国家有关规定予以减免。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破产企业按照有关规定履行解除非正常流程后，自动解除企业非正常户认定状态。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完善调解、仲裁、行政裁决、行政复议、诉讼等有机衔接的多元化纠纷解决机制，为经营主体提供高效、便捷的纠纷解决途径；完善人民调解、行政调解、行业性专业性调解、司法调解联动工作体系，建立健全调解与公证、仲裁、行政裁决、行政复议、诉讼等衔接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探索建立统一的在线商事纠纷多元化解平台，推进商事纠纷在线咨询、在线评估、在线分流、在线调解和在线确认工作，高效化解经营主体在金融、知识产权、房屋租售和其他商事领域的纠纷。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推动建立商贸商事调解机构，为经营主体的商事纠纷提供快捷、高效、经济、灵活的服务。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依托“长春智慧法务区”，完善支持政策体系，依托大数据、人工智能等技术，提升法律服务专业化精细化水平，为经营主体提供集成优质、智能、便捷的法律服务。加强专业人才队伍培养，形成集公共法律服务、理论研究、教育培训、智慧法务、法治文化等为一体的法治创新聚集区、专业法律服务综合体、一站式的法律服务功能聚集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市、县（市）区人民政府及其有关部门应当加强组织领导，创新营商环境法治宣传方式，拓宽普法渠道，大力宣传有关平等保护、公平竞争、激发经营主体活力、防范风险的法律法规，增强经营主体法治意识。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监督保障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市、县（市）区人民政府营商环境建设工作机构应当建立营商环境问题线索收集、受理、督办制度。对受理的投诉举报问题，在规定时限内向投诉举报人反馈，并为投诉举报人保密。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依法应当由监察机关、司法机关处理的损害营商环境行为的投诉举报，营商环境建设工作机构应当及时移交。监察机关、司法机关应当及时将处理结果告知营商环境建设工作机构。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市、县（市）区人民政府营商环境建设工作机构可以依法采取下列方式，开展营商环境监督工作：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（一）组织重点督查、专项检查、个别抽查、明察暗访；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（二）向有关单位和个人了解情况，收集、调取证据；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（三）约谈有关单位负责人；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（四）向有权机关提出处理建议；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（五）法律、法规规定的其他监督方式。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对存在损害营商环境行为的，营商环境建设工作机构可以责令本级政府所属部门或者下级人民政府和有关部门改正；逾期拒不改正的，营商环境建设工作机构可以向同级人民政府或者监察机关提出处理建议。同级人民政府或者监察机关应当及时将处理情况告知营商环境建设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建立优化营商环境社会监督员制度，聘请人大代表、政协委员、民主党派成员、专家学者、企业代表、媒体记者、行业协会商会负责人、群众代表等担任监督员，对营商环境工作进行监督。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对违反本条例的行为，有权机关应当依法进行查处，及时予以纠正，对直接负责的主管人员和其他直接责任人员依法给予处分。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市、县（市）区人民政府及其有关部门、乡镇人民政府、街道办事处以及工作人员在优化营商环境工作中，因缺乏经验、先行先试出现工作失误或者偏差，可以按照有关规定从轻、减轻或者免予追责。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FC70A1"/>
    <w:rsid w:val="05EE09DC"/>
    <w:rsid w:val="0D253654"/>
    <w:rsid w:val="0D9804AC"/>
    <w:rsid w:val="11E4354D"/>
    <w:rsid w:val="16DC7373"/>
    <w:rsid w:val="19772868"/>
    <w:rsid w:val="2629095F"/>
    <w:rsid w:val="344634A2"/>
    <w:rsid w:val="3DE63740"/>
    <w:rsid w:val="481351D2"/>
    <w:rsid w:val="53543565"/>
    <w:rsid w:val="55757FC6"/>
    <w:rsid w:val="558A062C"/>
    <w:rsid w:val="622F12CF"/>
    <w:rsid w:val="653E08AD"/>
    <w:rsid w:val="71B9247E"/>
    <w:rsid w:val="71E67677"/>
    <w:rsid w:val="761D500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2024-05-08T07:15:13Z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