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  <w:rPr>
          <w:rFonts w:hint="eastAsia" w:ascii="宋体" w:hAnsi="宋体" w:eastAsia="宋体" w:cs="宋体"/>
        </w:rPr>
      </w:pPr>
    </w:p>
    <w:p>
      <w:pPr>
        <w:jc w:val="center"/>
      </w:pPr>
      <w:r>
        <w:rPr>
          <w:rFonts w:ascii="宋体" w:hAnsi="宋体" w:eastAsia="宋体"/>
          <w:sz w:val="44"/>
        </w:rPr>
        <w:t>河南省城市人民警察巡察条例</w:t>
      </w:r>
    </w:p>
    <w:p>
      <w:pPr>
        <w:spacing w:after="0" w:line="240" w:lineRule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32"/>
        </w:rPr>
        <w:t>（</w:t>
      </w:r>
      <w:r>
        <w:rPr>
          <w:rFonts w:hint="default" w:ascii="Times New Roman" w:hAnsi="Times New Roman" w:eastAsia="楷体_GB2312" w:cs="Times New Roman"/>
          <w:sz w:val="32"/>
        </w:rPr>
        <w:t>1995</w:t>
      </w:r>
      <w:r>
        <w:rPr>
          <w:rFonts w:hint="eastAsia" w:ascii="楷体_GB2312" w:hAnsi="楷体_GB2312" w:eastAsia="楷体_GB2312" w:cs="楷体_GB2312"/>
          <w:sz w:val="32"/>
        </w:rPr>
        <w:t>年</w:t>
      </w:r>
      <w:r>
        <w:rPr>
          <w:rFonts w:hint="default" w:ascii="Times New Roman" w:hAnsi="Times New Roman" w:eastAsia="楷体_GB2312" w:cs="Times New Roman"/>
          <w:sz w:val="32"/>
        </w:rPr>
        <w:t>9</w:t>
      </w:r>
      <w:r>
        <w:rPr>
          <w:rFonts w:hint="eastAsia" w:ascii="楷体_GB2312" w:hAnsi="楷体_GB2312" w:eastAsia="楷体_GB2312" w:cs="楷体_GB2312"/>
          <w:sz w:val="32"/>
        </w:rPr>
        <w:t>月</w:t>
      </w:r>
      <w:r>
        <w:rPr>
          <w:rFonts w:hint="default" w:ascii="Times New Roman" w:hAnsi="Times New Roman" w:eastAsia="楷体_GB2312" w:cs="Times New Roman"/>
          <w:sz w:val="32"/>
        </w:rPr>
        <w:t>6</w:t>
      </w:r>
      <w:r>
        <w:rPr>
          <w:rFonts w:hint="eastAsia" w:ascii="楷体_GB2312" w:hAnsi="楷体_GB2312" w:eastAsia="楷体_GB2312" w:cs="楷体_GB2312"/>
          <w:sz w:val="32"/>
        </w:rPr>
        <w:t>日河南省第八届人民代表大会常务委员会第十五次会议通过　根据</w:t>
      </w:r>
      <w:r>
        <w:rPr>
          <w:rFonts w:hint="default" w:ascii="Times New Roman" w:hAnsi="Times New Roman" w:eastAsia="楷体_GB2312" w:cs="Times New Roman"/>
          <w:sz w:val="32"/>
        </w:rPr>
        <w:t>2010</w:t>
      </w:r>
      <w:r>
        <w:rPr>
          <w:rFonts w:hint="eastAsia" w:ascii="楷体_GB2312" w:hAnsi="楷体_GB2312" w:eastAsia="楷体_GB2312" w:cs="楷体_GB2312"/>
          <w:sz w:val="32"/>
        </w:rPr>
        <w:t>年</w:t>
      </w:r>
      <w:r>
        <w:rPr>
          <w:rFonts w:hint="default" w:ascii="Times New Roman" w:hAnsi="Times New Roman" w:eastAsia="楷体_GB2312" w:cs="Times New Roman"/>
          <w:sz w:val="32"/>
        </w:rPr>
        <w:t>7</w:t>
      </w:r>
      <w:r>
        <w:rPr>
          <w:rFonts w:hint="eastAsia" w:ascii="楷体_GB2312" w:hAnsi="楷体_GB2312" w:eastAsia="楷体_GB2312" w:cs="楷体_GB2312"/>
          <w:sz w:val="32"/>
        </w:rPr>
        <w:t>月</w:t>
      </w:r>
      <w:r>
        <w:rPr>
          <w:rFonts w:hint="default" w:ascii="Times New Roman" w:hAnsi="Times New Roman" w:eastAsia="楷体_GB2312" w:cs="Times New Roman"/>
          <w:sz w:val="32"/>
        </w:rPr>
        <w:t>30</w:t>
      </w:r>
      <w:r>
        <w:rPr>
          <w:rFonts w:hint="eastAsia" w:ascii="楷体_GB2312" w:hAnsi="楷体_GB2312" w:eastAsia="楷体_GB2312" w:cs="楷体_GB2312"/>
          <w:sz w:val="32"/>
        </w:rPr>
        <w:t>日河南省第十一届人民代表大会常务委员会第十六次会议《关于修改部分地方性法规的决定》第一次修正　根据</w:t>
      </w:r>
      <w:r>
        <w:rPr>
          <w:rFonts w:hint="default" w:ascii="Times New Roman" w:hAnsi="Times New Roman" w:eastAsia="楷体_GB2312" w:cs="Times New Roman"/>
          <w:sz w:val="32"/>
        </w:rPr>
        <w:t>2024</w:t>
      </w:r>
      <w:r>
        <w:rPr>
          <w:rFonts w:hint="eastAsia" w:ascii="楷体_GB2312" w:hAnsi="楷体_GB2312" w:eastAsia="楷体_GB2312" w:cs="楷体_GB2312"/>
          <w:sz w:val="32"/>
        </w:rPr>
        <w:t>年</w:t>
      </w:r>
      <w:r>
        <w:rPr>
          <w:rFonts w:hint="default" w:ascii="Times New Roman" w:hAnsi="Times New Roman" w:eastAsia="楷体_GB2312" w:cs="Times New Roman"/>
          <w:sz w:val="32"/>
        </w:rPr>
        <w:t>3</w:t>
      </w:r>
      <w:r>
        <w:rPr>
          <w:rFonts w:hint="eastAsia" w:ascii="楷体_GB2312" w:hAnsi="楷体_GB2312" w:eastAsia="楷体_GB2312" w:cs="楷体_GB2312"/>
          <w:sz w:val="32"/>
        </w:rPr>
        <w:t>月</w:t>
      </w:r>
      <w:r>
        <w:rPr>
          <w:rFonts w:hint="default" w:ascii="Times New Roman" w:hAnsi="Times New Roman" w:eastAsia="楷体_GB2312" w:cs="Times New Roman"/>
          <w:sz w:val="32"/>
        </w:rPr>
        <w:t>28</w:t>
      </w:r>
      <w:r>
        <w:rPr>
          <w:rFonts w:hint="eastAsia" w:ascii="楷体_GB2312" w:hAnsi="楷体_GB2312" w:eastAsia="楷体_GB2312" w:cs="楷体_GB2312"/>
          <w:sz w:val="32"/>
        </w:rPr>
        <w:t>日河南省第十四届人民代表大会常务委员会第八次会议《关于修改〈河南省大气污染防治条例〉〈河南省母婴保健条例〉等十四部地方性法规的决定》第二次修正）</w:t>
      </w:r>
    </w:p>
    <w:p>
      <w:pPr>
        <w:spacing w:after="0" w:line="240" w:lineRule="auto"/>
        <w:rPr>
          <w:rFonts w:hint="eastAsia" w:ascii="宋体" w:hAnsi="宋体" w:eastAsia="宋体" w:cs="宋体"/>
        </w:rPr>
      </w:pPr>
    </w:p>
    <w:p>
      <w:pPr>
        <w:spacing w:before="0" w:after="0" w:line="240" w:lineRule="auto"/>
        <w:jc w:val="center"/>
      </w:pPr>
      <w:r>
        <w:rPr>
          <w:rFonts w:ascii="楷体_GB2312" w:hAnsi="楷体_GB2312" w:eastAsia="楷体_GB2312"/>
          <w:sz w:val="32"/>
        </w:rPr>
        <w:t>目　　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2" w:leftChars="200" w:right="632" w:rightChars="200"/>
        <w:jc w:val="both"/>
        <w:textAlignment w:val="auto"/>
      </w:pPr>
      <w:r>
        <w:rPr>
          <w:rFonts w:ascii="楷体_GB2312" w:hAnsi="楷体_GB2312" w:eastAsia="楷体_GB2312"/>
          <w:sz w:val="32"/>
        </w:rPr>
        <w:t>第一章　总　　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2" w:leftChars="200" w:right="632" w:rightChars="200"/>
        <w:jc w:val="both"/>
        <w:textAlignment w:val="auto"/>
      </w:pPr>
      <w:r>
        <w:rPr>
          <w:rFonts w:ascii="楷体_GB2312" w:hAnsi="楷体_GB2312" w:eastAsia="楷体_GB2312"/>
          <w:sz w:val="32"/>
        </w:rPr>
        <w:t>第二章　职责与权力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2" w:leftChars="200" w:right="632" w:rightChars="200"/>
        <w:jc w:val="both"/>
        <w:textAlignment w:val="auto"/>
      </w:pPr>
      <w:r>
        <w:rPr>
          <w:rFonts w:ascii="楷体_GB2312" w:hAnsi="楷体_GB2312" w:eastAsia="楷体_GB2312"/>
          <w:sz w:val="32"/>
        </w:rPr>
        <w:t>第三章　违法行为与处罚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2" w:leftChars="200" w:right="632" w:rightChars="200"/>
        <w:jc w:val="both"/>
        <w:textAlignment w:val="auto"/>
      </w:pPr>
      <w:r>
        <w:rPr>
          <w:rFonts w:ascii="楷体_GB2312" w:hAnsi="楷体_GB2312" w:eastAsia="楷体_GB2312"/>
          <w:sz w:val="32"/>
        </w:rPr>
        <w:t>第四章　处罚程序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2" w:leftChars="200" w:right="632" w:rightChars="200"/>
        <w:jc w:val="both"/>
        <w:textAlignment w:val="auto"/>
      </w:pPr>
      <w:r>
        <w:rPr>
          <w:rFonts w:ascii="楷体_GB2312" w:hAnsi="楷体_GB2312" w:eastAsia="楷体_GB2312"/>
          <w:sz w:val="32"/>
        </w:rPr>
        <w:t>第五章　管理与监督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32" w:leftChars="200" w:right="632" w:rightChars="200"/>
        <w:jc w:val="both"/>
        <w:textAlignment w:val="auto"/>
      </w:pPr>
      <w:r>
        <w:rPr>
          <w:rFonts w:ascii="楷体_GB2312" w:hAnsi="楷体_GB2312" w:eastAsia="楷体_GB2312"/>
          <w:sz w:val="32"/>
        </w:rPr>
        <w:t>第六章　附　　则</w:t>
      </w:r>
    </w:p>
    <w:p>
      <w:pPr>
        <w:spacing w:after="0" w:line="240" w:lineRule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center"/>
        <w:textAlignment w:val="auto"/>
      </w:pPr>
      <w:r>
        <w:rPr>
          <w:rFonts w:eastAsia="黑体"/>
          <w:sz w:val="32"/>
        </w:rPr>
        <w:t>第一章　总　　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为了维护城市社会治安秩序，保障公民人身权利和公私财产安全，促进城市文明建设，根据《中华人民共和国人民警察法》及有关法律、法规的规定，结合本省实际，制定本条例。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本省设区的市实行人民警察巡察。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其他有条件的市，实行人民警察巡察的，应当经当地人民政府同意，并报省公安机关批准。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仿宋_GB2312" w:hAnsi="仿宋_GB2312" w:eastAsia="仿宋_GB2312"/>
          <w:sz w:val="32"/>
        </w:rPr>
        <w:t>　执行巡察任务的人民警察（以下简称巡警）应当坚持严格执法，服务群众，教育与处罚相结合的原则。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巡警巡察应当尽职尽责，文明执勤，礼貌待人。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第四条</w:t>
      </w:r>
      <w:r>
        <w:rPr>
          <w:rFonts w:ascii="仿宋_GB2312" w:hAnsi="仿宋_GB2312" w:eastAsia="仿宋_GB2312"/>
          <w:sz w:val="32"/>
        </w:rPr>
        <w:t>　巡警巡察区域为主要道路和广场。具体范围由所在市人民政府确定。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巡警巡察区域的重点部位，根据需要可以设置岗亭。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巡警巡察以徒步为主，必要时可采取其他方式。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巡警实行昼夜巡察，执行巡察任务必须二人以上。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第五条</w:t>
      </w:r>
      <w:r>
        <w:rPr>
          <w:rFonts w:ascii="仿宋_GB2312" w:hAnsi="仿宋_GB2312" w:eastAsia="仿宋_GB2312"/>
          <w:sz w:val="32"/>
        </w:rPr>
        <w:t>　省公安机关主管全省巡警巡察工作，并应有相应的指挥组织负责实施。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实行巡警巡察的城市应当建立专职巡警队伍。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第六条</w:t>
      </w:r>
      <w:r>
        <w:rPr>
          <w:rFonts w:ascii="仿宋_GB2312" w:hAnsi="仿宋_GB2312" w:eastAsia="仿宋_GB2312"/>
          <w:sz w:val="32"/>
        </w:rPr>
        <w:t>　在巡警巡察区域内，巡警和有关职能部门应当按照各自的职责，各司其职，相互配合。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依照本条例规定，巡警对巡察期间发现的违法案（事）件，有处置或者先期处置权。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机关、团体、企业事业单位和公民应当支持巡警巡察工作。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第七条</w:t>
      </w:r>
      <w:r>
        <w:rPr>
          <w:rFonts w:ascii="仿宋_GB2312" w:hAnsi="仿宋_GB2312" w:eastAsia="仿宋_GB2312"/>
          <w:sz w:val="32"/>
        </w:rPr>
        <w:t>　实行巡警巡察的城市人民政府，应当加强对巡警巡察工作的领导。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巡警巡察工作所需经费，应当依法列入同级财政预算，予以保障。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巡警的营房、训练场所和岗亭的建设，应当纳入城市规划，统筹实施。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center"/>
        <w:textAlignment w:val="auto"/>
      </w:pPr>
      <w:r>
        <w:rPr>
          <w:rFonts w:eastAsia="黑体"/>
          <w:sz w:val="32"/>
        </w:rPr>
        <w:t>第二章　职责与权力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第八条</w:t>
      </w:r>
      <w:r>
        <w:rPr>
          <w:rFonts w:ascii="仿宋_GB2312" w:hAnsi="仿宋_GB2312" w:eastAsia="仿宋_GB2312"/>
          <w:sz w:val="32"/>
        </w:rPr>
        <w:t>　巡警在巡察区域内履行下列职责：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（一）维护社会治安秩序，预防和制止违法犯罪行为；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（二）维护交通秩序；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（三）维护道路、广场整洁；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（四）参与处置非法集会、游行、示威活动；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（五）受理和处置公民的报警；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（六）制止妨碍国家工作人员依法执行职务的行为；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（七）参加突发性事件、灾害事故的处置、救援工作；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（八）受理拾遗物品，劝解、制止民间纠纷；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（九）为行人指路，救助突然受伤、患病、遇险等急需帮助的人；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（十）纠察人民警察警容风纪；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（十一）其他依法应当由人民警察履行的职责。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第九条</w:t>
      </w:r>
      <w:r>
        <w:rPr>
          <w:rFonts w:ascii="仿宋_GB2312" w:hAnsi="仿宋_GB2312" w:eastAsia="仿宋_GB2312"/>
          <w:sz w:val="32"/>
        </w:rPr>
        <w:t>　巡警在执勤中经出示证件，可以盘查有违法犯罪嫌疑人员，检查涉嫌车辆、物品和有关证件。对现行犯罪人员、重大犯罪嫌疑人员或者在逃犯，可以依法采取强制措施。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第十条</w:t>
      </w:r>
      <w:r>
        <w:rPr>
          <w:rFonts w:ascii="仿宋_GB2312" w:hAnsi="仿宋_GB2312" w:eastAsia="仿宋_GB2312"/>
          <w:sz w:val="32"/>
        </w:rPr>
        <w:t>　在追捕、救护、抢险等紧急情况下，巡警经出示工作证件，可以优先乘坐公共交通工具，遇有交通阻碍时优先通行；巡警组织可以优先使用机关、团体、企业事业组织和公民的交通、通讯工具，用后应当及时归还，并支付适当费用，造成损坏的应当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第十一条</w:t>
      </w:r>
      <w:r>
        <w:rPr>
          <w:rFonts w:ascii="仿宋_GB2312" w:hAnsi="仿宋_GB2312" w:eastAsia="仿宋_GB2312"/>
          <w:sz w:val="32"/>
        </w:rPr>
        <w:t>　巡警对流浪乞讨人员、精神病人，应当及时采取措施，予以先行处置；对处在醉酒状态，可能危害他人或者本人安全的人，应当通知其家属或者单位领回，必要时交由附近公安派出所约束到酒醒。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center"/>
        <w:textAlignment w:val="auto"/>
      </w:pPr>
      <w:r>
        <w:rPr>
          <w:rFonts w:eastAsia="黑体"/>
          <w:sz w:val="32"/>
        </w:rPr>
        <w:t>第三章　违法行为与处罚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第十二条</w:t>
      </w:r>
      <w:r>
        <w:rPr>
          <w:rFonts w:ascii="仿宋_GB2312" w:hAnsi="仿宋_GB2312" w:eastAsia="仿宋_GB2312"/>
          <w:sz w:val="32"/>
        </w:rPr>
        <w:t>　对有扰乱公共秩序、妨害公共安全、侵犯他人人身权利、侵犯公私财物、妨害社会管理秩序等违反治安管理行为的，依照《中华人民共和国治安管理处罚法》的规定给予处罚。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第十三条</w:t>
      </w:r>
      <w:r>
        <w:rPr>
          <w:rFonts w:ascii="仿宋_GB2312" w:hAnsi="仿宋_GB2312" w:eastAsia="仿宋_GB2312"/>
          <w:sz w:val="32"/>
        </w:rPr>
        <w:t>　有下列违反交通管理行为的，依照以下规定予以处罚：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（一）在县级以上公安机关明令禁止通行的道路、时间强行通行不听劝阻的，处十五日以下拘留、二百元以下罚款或者警告；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（二）不按规定超车、让车的，或者不按规定停车、车辆发生故障不立即将车移开造成交通严重堵塞的，处二百元以下罚款或者警告；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（三）未经主管部门批准，挖掘道路影响车辆通行的，责令限期恢复原状，处二百元以下罚款或者警告；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（四）未经主管部门批准，占用道路搭棚、盖房、摆摊、堆物、作业或者有其他妨碍交通行为的，责令限期改正，处五十元以下罚款或者警告；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（五）不按规定会车、倒车或者掉头的，处二十元以下罚款或者警告；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六）在公安交通管理机关明令禁止停放车辆的地方停放车辆的，不按规定临时停车的，驾驶和乘坐二轮摩托车不戴安全头盔的，不按规定使用喇叭的，或者非机动车驾驶人员、行人违反交通规则的，处五元以下罚款或者警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第十四条</w:t>
      </w:r>
      <w:r>
        <w:rPr>
          <w:rFonts w:ascii="仿宋_GB2312" w:hAnsi="仿宋_GB2312" w:eastAsia="仿宋_GB2312"/>
          <w:sz w:val="32"/>
        </w:rPr>
        <w:t>　违反消防管理，损坏、移动、埋压、圈占消火栓等消防设施的，责令限期恢复原状，并可处二百元以下罚款或者警告；扰乱火灾现场秩序的，处十日以下拘留、一百元以下罚款或者警告。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第十五条</w:t>
      </w:r>
      <w:r>
        <w:rPr>
          <w:rFonts w:ascii="仿宋_GB2312" w:hAnsi="仿宋_GB2312" w:eastAsia="仿宋_GB2312"/>
          <w:sz w:val="32"/>
        </w:rPr>
        <w:t>　在道路、广场上聚众赌博或者出售、传播淫书、淫画、淫秽录像或者其他淫秽物品的，除没收赌资、赌具或者淫秽物品外，处十五日以下拘留，可以单处或者并处三千元以下罚款，或者依照规定实行劳动教养。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第十六条</w:t>
      </w:r>
      <w:r>
        <w:rPr>
          <w:rFonts w:ascii="仿宋_GB2312" w:hAnsi="仿宋_GB2312" w:eastAsia="仿宋_GB2312"/>
          <w:sz w:val="32"/>
        </w:rPr>
        <w:t>　损害市容整洁，有下列行为之一的，处二十元以上、一百元以下罚款：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（一）随地便溺或者倾倒污水、粪便及其他有害物的；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（二）在道路、广场上焚烧或者抛撒树叶、垃圾、杂物的；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（三）在行人通过的桥梁或者人行天桥上摆摊设点不听劝阻的；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（四）未经主管部门批准，在主要道路两侧悬挂、堆放物品，有碍市容观瞻，拒不清除、改正的；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（五）建筑施工现场不围档，污水流溢的；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（六）在道路、广场上焚烧、抛撒迷信品的；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（七）随意在道路、广场张贴或者涂写的；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（八）车辆运载流散物体撒漏飞扬的。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第十七条</w:t>
      </w:r>
      <w:r>
        <w:rPr>
          <w:rFonts w:ascii="仿宋_GB2312" w:hAnsi="仿宋_GB2312" w:eastAsia="仿宋_GB2312"/>
          <w:sz w:val="32"/>
        </w:rPr>
        <w:t>　道路、广场上强行拉客住宿、搬运行李的，处二百元以下罚款；以不正当手段强买强卖的，暂扣物品，移送有关部门处理。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无证销售卷烟、食盐的，应予查扣，并移送有关部门处理。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第十八条</w:t>
      </w:r>
      <w:r>
        <w:rPr>
          <w:rFonts w:ascii="仿宋_GB2312" w:hAnsi="仿宋_GB2312" w:eastAsia="仿宋_GB2312"/>
          <w:sz w:val="32"/>
        </w:rPr>
        <w:t>　经营性营运车辆强行拉客，违反规定收费或者乘客不按规定交费引起纠纷，影响社会秩序的，对责任人处五十元以上、二百元以下罚款。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第十九条</w:t>
      </w:r>
      <w:r>
        <w:rPr>
          <w:rFonts w:ascii="仿宋_GB2312" w:hAnsi="仿宋_GB2312" w:eastAsia="仿宋_GB2312"/>
          <w:sz w:val="32"/>
        </w:rPr>
        <w:t>　违反规定运输（携带）、销售烟花爆竹的，应予没收，并依照有关规定予以处理。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在禁止燃放烟花爆竹的区域内燃放烟花爆竹的，依照有关规定予以处罚。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第二十条</w:t>
      </w:r>
      <w:r>
        <w:rPr>
          <w:rFonts w:ascii="仿宋_GB2312" w:hAnsi="仿宋_GB2312" w:eastAsia="仿宋_GB2312"/>
          <w:sz w:val="32"/>
        </w:rPr>
        <w:t>　本条例所列违法行为，有非法取得的财物或者违禁物品的，应当依照有关规定退还原主或者予以没收；造成财产损失或者人身伤害应当由行为人承担法律责任的，移送有关部门处理。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center"/>
        <w:textAlignment w:val="auto"/>
      </w:pPr>
      <w:r>
        <w:rPr>
          <w:rFonts w:eastAsia="黑体"/>
          <w:sz w:val="32"/>
        </w:rPr>
        <w:t>第四章　处罚程序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第二十一条</w:t>
      </w:r>
      <w:r>
        <w:rPr>
          <w:rFonts w:ascii="仿宋_GB2312" w:hAnsi="仿宋_GB2312" w:eastAsia="仿宋_GB2312"/>
          <w:sz w:val="32"/>
        </w:rPr>
        <w:t>　对于违反本条例的违法行为，巡警应当立即采取措施，予以制止。依照本条例规定，应予当场处罚的，由巡警当场处罚；不能当场处罚或者案情复杂的，应当交由巡警组织处理；应当交由有关部门处理的，要及时移送，有关部门应当受理；有关部门需要巡警协助工作的，巡警应予协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第二十二条</w:t>
      </w:r>
      <w:r>
        <w:rPr>
          <w:rFonts w:ascii="仿宋_GB2312" w:hAnsi="仿宋_GB2312" w:eastAsia="仿宋_GB2312"/>
          <w:sz w:val="32"/>
        </w:rPr>
        <w:t>　对本条例所列违法行为，情节轻微，被处罚人又主动承认错误并及时改正的，可以免予处罚；对被处罚人处警告或者五十元以下罚款的，可以由巡警当场处罚；对被处罚人处五十元以上、二百元以下罚款，被处罚人没有异议的，也可以由巡警当场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对被处罚人处五十元以上罚款、被处罚人有异议或者需要处二百元以上罚款的，由巡警组织或者有关部门依照有关规定予以处理。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对被处罚人应处行政拘留或者实行劳动教养的，按照《中华人民共和国治安管理处罚法》或者国务院关于劳动教养的有关规定执行。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第二十三条</w:t>
      </w:r>
      <w:r>
        <w:rPr>
          <w:rFonts w:ascii="仿宋_GB2312" w:hAnsi="仿宋_GB2312" w:eastAsia="仿宋_GB2312"/>
          <w:sz w:val="32"/>
        </w:rPr>
        <w:t>　依照本条例规定，巡警和有关部门对同一违法行为都有管辖权的，谁发现谁处理；同时发现的，由有关部门处理。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巡警和有关部门对同一违法行为，不得重复罚款和没收财物。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第二十四条</w:t>
      </w:r>
      <w:r>
        <w:rPr>
          <w:rFonts w:ascii="仿宋_GB2312" w:hAnsi="仿宋_GB2312" w:eastAsia="仿宋_GB2312"/>
          <w:sz w:val="32"/>
        </w:rPr>
        <w:t>　巡警对被处罚人给予处罚，应当告知被处罚人处罚的法律、法规依据及诉权，并出具由公安机关统一印制的处罚决定书。责令行为人立即改正的，可以口头宣告。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第二十五条</w:t>
      </w:r>
      <w:r>
        <w:rPr>
          <w:rFonts w:ascii="仿宋_GB2312" w:hAnsi="仿宋_GB2312" w:eastAsia="仿宋_GB2312"/>
          <w:sz w:val="32"/>
        </w:rPr>
        <w:t>　没收物品应当列出清单，罚款和没收物品应当出具由省财政部门统一制发的票据。罚款和没收物品一律上缴同级财政。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第二十六条</w:t>
      </w:r>
      <w:r>
        <w:rPr>
          <w:rFonts w:ascii="仿宋_GB2312" w:hAnsi="仿宋_GB2312" w:eastAsia="仿宋_GB2312"/>
          <w:sz w:val="32"/>
        </w:rPr>
        <w:t>　当事人对行政处罚不服的，可以依法申请行政复议或者提起行政诉讼。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center"/>
        <w:textAlignment w:val="auto"/>
      </w:pPr>
      <w:r>
        <w:rPr>
          <w:rFonts w:eastAsia="黑体"/>
          <w:sz w:val="32"/>
        </w:rPr>
        <w:t>第五章　管理与监督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第二十七条</w:t>
      </w:r>
      <w:r>
        <w:rPr>
          <w:rFonts w:ascii="仿宋_GB2312" w:hAnsi="仿宋_GB2312" w:eastAsia="仿宋_GB2312"/>
          <w:sz w:val="32"/>
        </w:rPr>
        <w:t>　巡警组织受同级公安机关的领导，受上级巡警组织的业务指导和监督。上级巡警组织对下级巡警组织作出的处理决定发现有错误的，应当责令其纠正或者直接予以撤销、变更。必要时，可直接调查处理。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第二十八条</w:t>
      </w:r>
      <w:r>
        <w:rPr>
          <w:rFonts w:ascii="仿宋_GB2312" w:hAnsi="仿宋_GB2312" w:eastAsia="仿宋_GB2312"/>
          <w:sz w:val="32"/>
        </w:rPr>
        <w:t>　公安机关应当加强对巡警队伍和巡警巡察工作的管理，建立上岗培训制度、警区责任制度、岗位责任制度和监督考核制度，提高巡警素质和执法水平。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第二十九条</w:t>
      </w:r>
      <w:r>
        <w:rPr>
          <w:rFonts w:ascii="仿宋_GB2312" w:hAnsi="仿宋_GB2312" w:eastAsia="仿宋_GB2312"/>
          <w:sz w:val="32"/>
        </w:rPr>
        <w:t>　巡警必须严格按照规定的区域到岗执勤，不得擅离职守。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巡警巡察必须佩带统一标志，着装整齐，举止端庄，行为规范。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第三十条</w:t>
      </w:r>
      <w:r>
        <w:rPr>
          <w:rFonts w:ascii="仿宋_GB2312" w:hAnsi="仿宋_GB2312" w:eastAsia="仿宋_GB2312"/>
          <w:sz w:val="32"/>
        </w:rPr>
        <w:t>　巡警和巡察组织应当自觉接受社会各界和人民群众的监督。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第三十一条</w:t>
      </w:r>
      <w:r>
        <w:rPr>
          <w:rFonts w:ascii="仿宋_GB2312" w:hAnsi="仿宋_GB2312" w:eastAsia="仿宋_GB2312"/>
          <w:sz w:val="32"/>
        </w:rPr>
        <w:t>　巡警个人或者巡警组织在巡察工作中，成绩显著或者有特殊贡献的，给予表彰、奖励。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第三十二条</w:t>
      </w:r>
      <w:r>
        <w:rPr>
          <w:rFonts w:ascii="仿宋_GB2312" w:hAnsi="仿宋_GB2312" w:eastAsia="仿宋_GB2312"/>
          <w:sz w:val="32"/>
        </w:rPr>
        <w:t>　巡警有下列行为之一的，任何单位和个人均有权向巡警组织或者公安、监察、检察机关检举、控告，受理检举、控告的巡警组织或者有关机关应当及时调查处理：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（一）擅离职守、不依法履行职责或者滥用职权的；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（二）徇私舞弊、敲诈勒索、索贿受贿、枉法裁决的；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（三）打骂、侮辱、打击报复当事人的；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（四）随意拦截、调用单位和个人车辆办私事的；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（五）毁损被检查证件或者物品的；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（六）罚款、扣押物品不出具票据、法律文书的；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（七）依照规定应当移送有关部门处理而不移送的；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（八）其他违法行为。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仿宋_GB2312" w:hAnsi="仿宋_GB2312" w:eastAsia="仿宋_GB2312"/>
          <w:sz w:val="32"/>
        </w:rPr>
        <w:t>对检举控告，经受理的巡警组织或者有关机关查证属实，情节较轻的，应当对责任人进行批评教育，并责令其纠正；情节严重的，应当给予行政处分；构成犯罪的，依法追究刑事责任。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第三十三条</w:t>
      </w:r>
      <w:r>
        <w:rPr>
          <w:rFonts w:ascii="仿宋_GB2312" w:hAnsi="仿宋_GB2312" w:eastAsia="仿宋_GB2312"/>
          <w:sz w:val="32"/>
        </w:rPr>
        <w:t>　巡警对被处罚人作出错误处罚的，应当主动向被处罚人承认错误，退回罚款及没收的财物；给被处罚人造成损害的，应当依法赔偿损失。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center"/>
        <w:textAlignment w:val="auto"/>
      </w:pPr>
      <w:r>
        <w:rPr>
          <w:rFonts w:eastAsia="黑体"/>
          <w:sz w:val="32"/>
        </w:rPr>
        <w:t>第六章　附　　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第三十四条</w:t>
      </w:r>
      <w:r>
        <w:rPr>
          <w:rFonts w:ascii="仿宋_GB2312" w:hAnsi="仿宋_GB2312" w:eastAsia="仿宋_GB2312"/>
          <w:sz w:val="32"/>
        </w:rPr>
        <w:t>　本条例的具体应用问题，由省公安机关负责解释。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both"/>
        <w:textAlignment w:val="auto"/>
      </w:pPr>
      <w:r>
        <w:rPr>
          <w:rFonts w:ascii="黑体" w:hAnsi="黑体" w:eastAsia="黑体"/>
          <w:sz w:val="32"/>
        </w:rPr>
        <w:t>第三十五条</w:t>
      </w:r>
      <w:r>
        <w:rPr>
          <w:rFonts w:ascii="Times New Roman" w:hAnsi="Times New Roman" w:eastAsia="仿宋_GB2312"/>
          <w:sz w:val="32"/>
        </w:rPr>
        <w:t>　本条例自</w:t>
      </w:r>
      <w:r>
        <w:rPr>
          <w:rFonts w:hint="default" w:ascii="Times New Roman" w:hAnsi="Times New Roman" w:eastAsia="仿宋_GB2312" w:cs="Times New Roman"/>
          <w:sz w:val="32"/>
        </w:rPr>
        <w:t>1995</w:t>
      </w:r>
      <w:r>
        <w:rPr>
          <w:rFonts w:ascii="Times New Roman" w:hAnsi="Times New Roman" w:eastAsia="仿宋_GB2312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</w:rPr>
        <w:t>10</w:t>
      </w:r>
      <w:r>
        <w:rPr>
          <w:rFonts w:ascii="Times New Roman" w:hAnsi="Times New Roman" w:eastAsia="仿宋_GB2312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</w:rPr>
        <w:t>1</w:t>
      </w:r>
      <w:r>
        <w:rPr>
          <w:rFonts w:ascii="Times New Roman" w:hAnsi="Times New Roman" w:eastAsia="仿宋_GB2312"/>
          <w:sz w:val="32"/>
        </w:rPr>
        <w:t>日起施行。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Y2MWQ1OWU1MTNiNzMzYTVjNmU3OTRlNWM4YmY2MzU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BE04A65"/>
    <w:rsid w:val="0D9804AC"/>
    <w:rsid w:val="11E4354D"/>
    <w:rsid w:val="16DC7373"/>
    <w:rsid w:val="23F4500E"/>
    <w:rsid w:val="300E30A0"/>
    <w:rsid w:val="344634A2"/>
    <w:rsid w:val="3DE63740"/>
    <w:rsid w:val="438427D4"/>
    <w:rsid w:val="44DA759D"/>
    <w:rsid w:val="481351D2"/>
    <w:rsid w:val="53543565"/>
    <w:rsid w:val="558A062C"/>
    <w:rsid w:val="622F12CF"/>
    <w:rsid w:val="653E08AD"/>
    <w:rsid w:val="6FD756D3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NO.  Pream</cp:lastModifiedBy>
  <dcterms:modified xsi:type="dcterms:W3CDTF">2024-04-29T08:36:48Z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2052-12.1.0.16729</vt:lpwstr>
  </property>
</Properties>
</file>