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衡阳市平安村社区建设条例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日衡阳市第十六届人民代表大会常务委员会第十五次会议通过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17</w:t>
      </w:r>
      <w:r>
        <w:rPr>
          <w:rFonts w:hint="eastAsia" w:ascii="楷体_GB2312" w:hAnsi="楷体_GB2312" w:eastAsia="楷体_GB2312" w:cs="楷体_GB2312"/>
          <w:sz w:val="32"/>
        </w:rPr>
        <w:t>日湖南省第十四届人民代表大会常务委员会第七次会议批准）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黑体" w:hAnsi="黑体" w:eastAsia="黑体" w:cs="黑体"/>
          <w:sz w:val="32"/>
        </w:rPr>
        <w:t>第一条</w:t>
      </w:r>
      <w:r>
        <w:rPr>
          <w:rFonts w:hint="eastAsia" w:ascii="仿宋_GB2312" w:hAnsi="仿宋_GB2312" w:eastAsia="仿宋_GB2312" w:cs="仿宋_GB2312"/>
          <w:sz w:val="32"/>
        </w:rPr>
        <w:t>　为了加强平安村、平安社区建设，推进城乡标准化治理，提升基层社会治理能力，防范和化解社会风险，根据有关法律、法规，结合本市实际，制定本条例。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黑体" w:hAnsi="黑体" w:eastAsia="黑体" w:cs="黑体"/>
          <w:sz w:val="32"/>
        </w:rPr>
        <w:t>第二条</w:t>
      </w:r>
      <w:r>
        <w:rPr>
          <w:rFonts w:hint="eastAsia" w:ascii="仿宋_GB2312" w:hAnsi="仿宋_GB2312" w:eastAsia="仿宋_GB2312" w:cs="仿宋_GB2312"/>
          <w:sz w:val="32"/>
        </w:rPr>
        <w:t>　市、县（市、区）平安建设组织协调机构统一领导、统筹推进本行政区域内平安村、社区建设工作。</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rPr>
        <w:t>县（市、区）人民政府负责组织实施，乡（镇）人民政府、街道办事处具体推进，村民委员会、居民委员会依法协助平安村、社区建设工作。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rPr>
        <w:t>市、县（市、区）人民政府应当将平安村、社区建设工作经费纳入同级财政予以保障。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rPr>
        <w:t>鼓励社会各界通过捐赠、公益赞助等方式参与平安村、社区建设。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黑体" w:hAnsi="黑体" w:eastAsia="黑体" w:cs="黑体"/>
          <w:sz w:val="32"/>
        </w:rPr>
        <w:t>第三条</w:t>
      </w:r>
      <w:r>
        <w:rPr>
          <w:rFonts w:hint="eastAsia" w:ascii="仿宋_GB2312" w:hAnsi="仿宋_GB2312" w:eastAsia="仿宋_GB2312" w:cs="仿宋_GB2312"/>
          <w:sz w:val="32"/>
        </w:rPr>
        <w:t>　市、县（市、区）人民政府、乡（镇）人民政府、街道办事处应当制定社会风险防范制度，建立突发事件应急处置机制，完善社会治安联防联控体系。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rPr>
        <w:t>平安建设组织协调机构应当统筹公安、教育、民政、司法行政、住房和城乡建设、农业农村、卫生健康、应急管理、城市管理等相关部门，对吸毒人员、严重精神障碍肇事者等人群，对学校、医院、车站、城中村、城乡结合部等区域，对涉黑涉恶、涉黄赌毒、涉性侵未成年人、电信网络诈骗、跨国（边）境犯罪、非法集资等行为，根据实际情况开展整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黑体" w:hAnsi="黑体" w:eastAsia="黑体" w:cs="黑体"/>
          <w:sz w:val="32"/>
        </w:rPr>
        <w:t>第四条</w:t>
      </w:r>
      <w:r>
        <w:rPr>
          <w:rFonts w:hint="eastAsia" w:ascii="仿宋_GB2312" w:hAnsi="仿宋_GB2312" w:eastAsia="仿宋_GB2312" w:cs="仿宋_GB2312"/>
          <w:sz w:val="32"/>
        </w:rPr>
        <w:t>　市、县（市、区）平安建设组织协调机构应当健全社会矛盾纠纷分类、分级管理制度，建立统一的社会矛盾纠纷调处化解平台，完善人民调解、行政调解、司法调解联动工作机制。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rPr>
        <w:t>县（市、区）人民政府应当组织力量对重大复杂疑难的社会矛盾纠纷进行联合调处。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rPr>
        <w:t>乡（镇）人民政府、街道办事处应当整合资源，推行矛盾纠纷化解的一站式服务，分类受理和及时化解社会矛盾纠纷，报告重大复杂疑难的社会矛盾纠纷。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rPr>
        <w:t>村民委员会、居民委员会应当组织、动员社会力量参与社会矛盾纠纷排查调解。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黑体" w:hAnsi="黑体" w:eastAsia="黑体" w:cs="黑体"/>
          <w:sz w:val="32"/>
        </w:rPr>
        <w:t>第五条</w:t>
      </w:r>
      <w:r>
        <w:rPr>
          <w:rFonts w:hint="eastAsia" w:ascii="仿宋_GB2312" w:hAnsi="仿宋_GB2312" w:eastAsia="仿宋_GB2312" w:cs="仿宋_GB2312"/>
          <w:sz w:val="32"/>
        </w:rPr>
        <w:t>　市、县（市、区）人民政府、乡（镇）人民政府、街道办事处应当在以下方面建立健全村、社区网格化社会服务管理平安建设制度、机制：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rPr>
        <w:t>（一）网格员队伍建设机制；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rPr>
        <w:t>（二）网格工作事项清单管理制度；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rPr>
        <w:t>（三）网格员公示制度；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rPr>
        <w:t>（四）社会各方面力量参与网格化社会服务管理制度。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rPr>
        <w:t>市、县（市、区）人民政府应当建立平安村、社区建设智能化信息共享机制，推进公共视频监控和结构化数据等科技信息资源接入统一的大数据平台，实现公共安全监控系统联网运行。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黑体" w:hAnsi="黑体" w:eastAsia="黑体" w:cs="黑体"/>
          <w:sz w:val="32"/>
        </w:rPr>
        <w:t>第六条</w:t>
      </w:r>
      <w:r>
        <w:rPr>
          <w:rFonts w:hint="eastAsia" w:ascii="仿宋_GB2312" w:hAnsi="仿宋_GB2312" w:eastAsia="仿宋_GB2312" w:cs="仿宋_GB2312"/>
          <w:sz w:val="32"/>
        </w:rPr>
        <w:t>　县（市、区）人民政府、乡（镇）人民政府、街道办事处应当指导村、社区制订村规民约、居民公约，弘扬社会主义核心价值观，树立文明新风。村规民约、居民公约可以包含下列内容：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rPr>
        <w:t>（一）传承尊老爱幼、和亲睦邻、诚实守信、勤俭持家、见义勇为等中华传统美德；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rPr>
        <w:t>（二）倡导喜事新办、丧事简办，约定礼俗、礼金指导性标准；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rPr>
        <w:t>（三）约定保护村、社区环境的规范和措施。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黑体" w:hAnsi="黑体" w:eastAsia="黑体" w:cs="黑体"/>
          <w:sz w:val="32"/>
        </w:rPr>
        <w:t>第七条</w:t>
      </w:r>
      <w:r>
        <w:rPr>
          <w:rFonts w:hint="eastAsia" w:ascii="仿宋_GB2312" w:hAnsi="仿宋_GB2312" w:eastAsia="仿宋_GB2312" w:cs="仿宋_GB2312"/>
          <w:sz w:val="32"/>
        </w:rPr>
        <w:t>　县（市、区）人民政府、乡（镇）人民政府、街道办事处应当指导村、社区对民生实事依法进行票决，建立完善民生实事事前协商、事中监督、事后评议制度。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rPr>
        <w:t>村民委员会、居民委员会应当将办理民生实事，平安村、社区建设事项纳入村务公开、居务公开范围。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黑体" w:hAnsi="黑体" w:eastAsia="黑体" w:cs="黑体"/>
          <w:sz w:val="32"/>
        </w:rPr>
        <w:t>第八条</w:t>
      </w:r>
      <w:r>
        <w:rPr>
          <w:rFonts w:hint="eastAsia" w:ascii="仿宋_GB2312" w:hAnsi="仿宋_GB2312" w:eastAsia="仿宋_GB2312" w:cs="仿宋_GB2312"/>
          <w:sz w:val="32"/>
        </w:rPr>
        <w:t>　市、县（市、区）平安建设组织协调机构制定平安建设考核标准并组织本级考核。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rPr>
        <w:t>有关单位未依法履行平安建设责任的，由市、县（市、区）平安建设组织协调机构督促整改。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第九条</w:t>
      </w:r>
      <w:r>
        <w:rPr>
          <w:rFonts w:hint="eastAsia" w:ascii="仿宋_GB2312" w:hAnsi="仿宋_GB2312" w:eastAsia="仿宋_GB2312" w:cs="仿宋_GB2312"/>
          <w:sz w:val="32"/>
        </w:rPr>
        <w:t>　本条例自</w:t>
      </w:r>
      <w:r>
        <w:rPr>
          <w:rFonts w:hint="default" w:ascii="Times New Roman" w:hAnsi="Times New Roman" w:eastAsia="仿宋_GB2312" w:cs="Times New Roman"/>
          <w:sz w:val="32"/>
        </w:rPr>
        <w:t>2024</w:t>
      </w:r>
      <w:r>
        <w:rPr>
          <w:rFonts w:hint="eastAsia" w:ascii="仿宋_GB2312" w:hAnsi="仿宋_GB2312" w:eastAsia="仿宋_GB2312" w:cs="仿宋_GB2312"/>
          <w:sz w:val="32"/>
        </w:rPr>
        <w:t>年</w:t>
      </w:r>
      <w:r>
        <w:rPr>
          <w:rFonts w:hint="default" w:ascii="Times New Roman" w:hAnsi="Times New Roman" w:eastAsia="仿宋_GB2312" w:cs="Times New Roman"/>
          <w:sz w:val="32"/>
        </w:rPr>
        <w:t>5</w:t>
      </w:r>
      <w:r>
        <w:rPr>
          <w:rFonts w:hint="eastAsia" w:ascii="仿宋_GB2312" w:hAnsi="仿宋_GB2312" w:eastAsia="仿宋_GB2312" w:cs="仿宋_GB2312"/>
          <w:sz w:val="32"/>
        </w:rPr>
        <w:t>月</w:t>
      </w:r>
      <w:r>
        <w:rPr>
          <w:rFonts w:hint="default" w:ascii="Times New Roman" w:hAnsi="Times New Roman" w:eastAsia="仿宋_GB2312" w:cs="Times New Roman"/>
          <w:sz w:val="32"/>
        </w:rPr>
        <w:t>1</w:t>
      </w:r>
      <w:r>
        <w:rPr>
          <w:rFonts w:hint="eastAsia"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0883C57"/>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2024-03-22T08:19:05Z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