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2"/>
        </w:rPr>
      </w:pPr>
    </w:p>
    <w:p>
      <w:pPr>
        <w:spacing w:after="0" w:line="240" w:lineRule="auto"/>
      </w:pPr>
      <w:r>
        <w:rPr>
          <w:rFonts w:ascii="宋体" w:hAnsi="宋体" w:eastAsia="宋体"/>
          <w:sz w:val="32"/>
        </w:rPr>
        <w:t>​</w:t>
      </w:r>
    </w:p>
    <w:p>
      <w:pPr>
        <w:jc w:val="center"/>
        <w:rPr>
          <w:rFonts w:ascii="宋体" w:hAnsi="宋体" w:eastAsia="宋体"/>
          <w:sz w:val="44"/>
        </w:rPr>
      </w:pPr>
      <w:r>
        <w:rPr>
          <w:rFonts w:ascii="宋体" w:hAnsi="宋体" w:eastAsia="宋体"/>
          <w:sz w:val="44"/>
        </w:rPr>
        <w:t>青海省实施《中华人民共和国</w:t>
      </w:r>
    </w:p>
    <w:p>
      <w:pPr>
        <w:jc w:val="center"/>
      </w:pPr>
      <w:r>
        <w:rPr>
          <w:rFonts w:ascii="宋体" w:hAnsi="宋体" w:eastAsia="宋体"/>
          <w:sz w:val="44"/>
        </w:rPr>
        <w:t>集会游行示威法》办法</w:t>
      </w:r>
    </w:p>
    <w:p>
      <w:pPr>
        <w:spacing w:after="0" w:line="240" w:lineRule="auto"/>
      </w:pPr>
      <w:r>
        <w:rPr>
          <w:rFonts w:ascii="宋体" w:hAnsi="宋体" w:eastAsia="宋体"/>
          <w:sz w:val="32"/>
        </w:rPr>
        <w:t>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632" w:leftChars="200" w:right="632" w:rightChars="200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  <w:sz w:val="32"/>
        </w:rPr>
        <w:t>（</w:t>
      </w:r>
      <w:r>
        <w:rPr>
          <w:rFonts w:hint="default" w:ascii="Times New Roman" w:hAnsi="Times New Roman" w:eastAsia="楷体_GB2312" w:cs="Times New Roman"/>
          <w:sz w:val="32"/>
        </w:rPr>
        <w:t>1991</w:t>
      </w:r>
      <w:r>
        <w:rPr>
          <w:rFonts w:hint="eastAsia" w:ascii="楷体_GB2312" w:hAnsi="楷体_GB2312" w:eastAsia="楷体_GB2312" w:cs="楷体_GB2312"/>
          <w:sz w:val="32"/>
        </w:rPr>
        <w:t>年</w:t>
      </w:r>
      <w:r>
        <w:rPr>
          <w:rFonts w:hint="default" w:ascii="Times New Roman" w:hAnsi="Times New Roman" w:eastAsia="楷体_GB2312" w:cs="Times New Roman"/>
          <w:sz w:val="32"/>
        </w:rPr>
        <w:t>4</w:t>
      </w:r>
      <w:r>
        <w:rPr>
          <w:rFonts w:hint="eastAsia" w:ascii="楷体_GB2312" w:hAnsi="楷体_GB2312" w:eastAsia="楷体_GB2312" w:cs="楷体_GB2312"/>
          <w:sz w:val="32"/>
        </w:rPr>
        <w:t>月</w:t>
      </w:r>
      <w:r>
        <w:rPr>
          <w:rFonts w:hint="default" w:ascii="Times New Roman" w:hAnsi="Times New Roman" w:eastAsia="楷体_GB2312" w:cs="Times New Roman"/>
          <w:sz w:val="32"/>
        </w:rPr>
        <w:t>22</w:t>
      </w:r>
      <w:r>
        <w:rPr>
          <w:rFonts w:hint="eastAsia" w:ascii="楷体_GB2312" w:hAnsi="楷体_GB2312" w:eastAsia="楷体_GB2312" w:cs="楷体_GB2312"/>
          <w:sz w:val="32"/>
        </w:rPr>
        <w:t>日青海省第七届人民代表大会常务委员会第二十次会议通过　根据</w:t>
      </w:r>
      <w:r>
        <w:rPr>
          <w:rFonts w:hint="default" w:ascii="Times New Roman" w:hAnsi="Times New Roman" w:eastAsia="楷体_GB2312" w:cs="Times New Roman"/>
          <w:sz w:val="32"/>
        </w:rPr>
        <w:t>2020</w:t>
      </w:r>
      <w:r>
        <w:rPr>
          <w:rFonts w:hint="eastAsia" w:ascii="楷体_GB2312" w:hAnsi="楷体_GB2312" w:eastAsia="楷体_GB2312" w:cs="楷体_GB2312"/>
          <w:sz w:val="32"/>
        </w:rPr>
        <w:t>年</w:t>
      </w:r>
      <w:r>
        <w:rPr>
          <w:rFonts w:hint="default" w:ascii="Times New Roman" w:hAnsi="Times New Roman" w:eastAsia="楷体_GB2312" w:cs="Times New Roman"/>
          <w:sz w:val="32"/>
        </w:rPr>
        <w:t>7</w:t>
      </w:r>
      <w:r>
        <w:rPr>
          <w:rFonts w:hint="eastAsia" w:ascii="楷体_GB2312" w:hAnsi="楷体_GB2312" w:eastAsia="楷体_GB2312" w:cs="楷体_GB2312"/>
          <w:sz w:val="32"/>
        </w:rPr>
        <w:t>月</w:t>
      </w:r>
      <w:r>
        <w:rPr>
          <w:rFonts w:hint="default" w:ascii="Times New Roman" w:hAnsi="Times New Roman" w:eastAsia="楷体_GB2312" w:cs="Times New Roman"/>
          <w:sz w:val="32"/>
        </w:rPr>
        <w:t>22</w:t>
      </w:r>
      <w:r>
        <w:rPr>
          <w:rFonts w:hint="eastAsia" w:ascii="楷体_GB2312" w:hAnsi="楷体_GB2312" w:eastAsia="楷体_GB2312" w:cs="楷体_GB2312"/>
          <w:sz w:val="32"/>
        </w:rPr>
        <w:t>日青海省第十三届人民代表大会常务委员会第十八次会议《关于修改〈青海省预算管理条例〉等五十四部地方性法规的决定》修正　根据</w:t>
      </w:r>
      <w:r>
        <w:rPr>
          <w:rFonts w:hint="default" w:ascii="Times New Roman" w:hAnsi="Times New Roman" w:eastAsia="楷体_GB2312" w:cs="Times New Roman"/>
          <w:sz w:val="32"/>
        </w:rPr>
        <w:t>2024</w:t>
      </w:r>
      <w:r>
        <w:rPr>
          <w:rFonts w:hint="eastAsia" w:ascii="楷体_GB2312" w:hAnsi="楷体_GB2312" w:eastAsia="楷体_GB2312" w:cs="楷体_GB2312"/>
          <w:sz w:val="32"/>
        </w:rPr>
        <w:t>年</w:t>
      </w:r>
      <w:r>
        <w:rPr>
          <w:rFonts w:hint="default" w:ascii="Times New Roman" w:hAnsi="Times New Roman" w:eastAsia="楷体_GB2312" w:cs="Times New Roman"/>
          <w:sz w:val="32"/>
        </w:rPr>
        <w:t>1</w:t>
      </w:r>
      <w:r>
        <w:rPr>
          <w:rFonts w:hint="eastAsia" w:ascii="楷体_GB2312" w:hAnsi="楷体_GB2312" w:eastAsia="楷体_GB2312" w:cs="楷体_GB2312"/>
          <w:sz w:val="32"/>
        </w:rPr>
        <w:t>月</w:t>
      </w:r>
      <w:r>
        <w:rPr>
          <w:rFonts w:hint="default" w:ascii="Times New Roman" w:hAnsi="Times New Roman" w:eastAsia="楷体_GB2312" w:cs="Times New Roman"/>
          <w:sz w:val="32"/>
        </w:rPr>
        <w:t>16</w:t>
      </w:r>
      <w:r>
        <w:rPr>
          <w:rFonts w:hint="eastAsia" w:ascii="楷体_GB2312" w:hAnsi="楷体_GB2312" w:eastAsia="楷体_GB2312" w:cs="楷体_GB2312"/>
          <w:sz w:val="32"/>
        </w:rPr>
        <w:t>日青海省第十四届人民代表大会常务委员会第六次会议《关于修改〈青海省实施中华人民共和国集会游行示威法办法〉等</w:t>
      </w:r>
      <w:r>
        <w:rPr>
          <w:rFonts w:hint="default" w:ascii="Times New Roman" w:hAnsi="Times New Roman" w:eastAsia="楷体_GB2312" w:cs="Times New Roman"/>
          <w:sz w:val="32"/>
        </w:rPr>
        <w:t>2</w:t>
      </w:r>
      <w:r>
        <w:rPr>
          <w:rFonts w:hint="eastAsia" w:ascii="楷体_GB2312" w:hAnsi="楷体_GB2312" w:eastAsia="楷体_GB2312" w:cs="楷体_GB2312"/>
          <w:sz w:val="32"/>
        </w:rPr>
        <w:t>部地方性法规的决定》修正）</w:t>
      </w:r>
    </w:p>
    <w:p>
      <w:pPr>
        <w:spacing w:after="0" w:line="240" w:lineRule="auto"/>
      </w:pPr>
      <w:r>
        <w:rPr>
          <w:rFonts w:ascii="宋体" w:hAnsi="宋体" w:eastAsia="宋体"/>
          <w:sz w:val="32"/>
        </w:rPr>
        <w:t>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第一条</w:t>
      </w:r>
      <w:r>
        <w:rPr>
          <w:rFonts w:ascii="仿宋_GB2312" w:hAnsi="仿宋_GB2312" w:eastAsia="仿宋_GB2312"/>
          <w:sz w:val="32"/>
        </w:rPr>
        <w:t>　为了保障公民依法行使集会、游行、示威的权利，维护社会安定与公共秩序，根据《中华人民共和国宪法》、《中华人民共和国集会游行示威法》的规定，结合本省实际情况，制定本办法。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第二条</w:t>
      </w:r>
      <w:r>
        <w:rPr>
          <w:rFonts w:ascii="仿宋_GB2312" w:hAnsi="仿宋_GB2312" w:eastAsia="仿宋_GB2312"/>
          <w:sz w:val="32"/>
        </w:rPr>
        <w:t>　凡在本省行政区域内举行集会、游行、示威，必须遵守《中华人民共和国集会游行示威法》和本办法。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文娱、体育活动，正常的宗教活动，传统的民间习俗活动，不适用《中华人民共和国集会游行示威法》和本办法。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第三条</w:t>
      </w:r>
      <w:r>
        <w:rPr>
          <w:rFonts w:ascii="仿宋_GB2312" w:hAnsi="仿宋_GB2312" w:eastAsia="仿宋_GB2312"/>
          <w:sz w:val="32"/>
        </w:rPr>
        <w:t>　各级人民政府应当依法保障公民行使集会、游行、示威的权利。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第四条</w:t>
      </w:r>
      <w:r>
        <w:rPr>
          <w:rFonts w:ascii="仿宋_GB2312" w:hAnsi="仿宋_GB2312" w:eastAsia="仿宋_GB2312"/>
          <w:sz w:val="32"/>
        </w:rPr>
        <w:t>　公民行使集会、游行、示威的权利，必须遵守宪法、法律和法规，不得反对宪法所确定的基本原则，不得损害国家的、社会的、集体的利益和其他公民的合法的自由和权利。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被依法剥夺政治权利的人不得参加集会、游行、示威。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第五条</w:t>
      </w:r>
      <w:r>
        <w:rPr>
          <w:rFonts w:ascii="仿宋_GB2312" w:hAnsi="仿宋_GB2312" w:eastAsia="仿宋_GB2312"/>
          <w:sz w:val="32"/>
        </w:rPr>
        <w:t>　本省集会、游行、示威的主管机关，是集会、游行、示威举行地的县（区、市）公安机关。游行、示威路线经过两个以上县（区、市）的，主管机关为所经过县（区、市）公安机关的共同上一级公安机关；经过两个以上州（市）的，由省公安厅主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第六条</w:t>
      </w:r>
      <w:r>
        <w:rPr>
          <w:rFonts w:ascii="仿宋_GB2312" w:hAnsi="仿宋_GB2312" w:eastAsia="仿宋_GB2312"/>
          <w:sz w:val="32"/>
        </w:rPr>
        <w:t>　举行集会、游行、示威，必须依法向主管公安机关提出申请并获得许可，但依照《中华人民共和国集会游行示威法》有关规定不需要申请的除外。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第七条</w:t>
      </w:r>
      <w:r>
        <w:rPr>
          <w:rFonts w:ascii="仿宋_GB2312" w:hAnsi="仿宋_GB2312" w:eastAsia="仿宋_GB2312"/>
          <w:sz w:val="32"/>
        </w:rPr>
        <w:t>　举行集会、游行、示威，必须有负责人。负责人为两人以上的，应当确定主要负责人。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Times New Roman" w:hAnsi="Times New Roman" w:eastAsia="仿宋_GB2312"/>
          <w:sz w:val="32"/>
        </w:rPr>
        <w:t>申请集会、游行、示威，其负责人必须持本人居民身份证或其他身份证件在举行日期的</w:t>
      </w:r>
      <w:r>
        <w:rPr>
          <w:rFonts w:hint="default" w:ascii="Times New Roman" w:hAnsi="Times New Roman" w:eastAsia="仿宋_GB2312" w:cs="Times New Roman"/>
          <w:sz w:val="32"/>
        </w:rPr>
        <w:t>5</w:t>
      </w:r>
      <w:r>
        <w:rPr>
          <w:rFonts w:ascii="Times New Roman" w:hAnsi="Times New Roman" w:eastAsia="仿宋_GB2312"/>
          <w:sz w:val="32"/>
        </w:rPr>
        <w:t>日前向主管公安机关递交申请书并填写集会、游行、示威申请登记表。以信函、电报电话或者其他方式提出申请的，主管公安机关不予受理。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申请书应当载明集会、游行、示威的目的、方式、标语、口号、人数、自备交通工具的种类与数量、使用音响设备的种类与数量、起止时间、地点（包括集合地和解散地）、行进路线和负责人的姓名、职业、住址以及联系电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第八条</w:t>
      </w:r>
      <w:r>
        <w:rPr>
          <w:rFonts w:ascii="仿宋_GB2312" w:hAnsi="仿宋_GB2312" w:eastAsia="仿宋_GB2312"/>
          <w:sz w:val="32"/>
        </w:rPr>
        <w:t>　以国家机关、社会团体、企事业组织的名义组织或者参加集会、游行、示威的，必须经本单位负责人批准。申请书必须有该单位负责人签名并加盖该单位的公章。签名批准的单位负责人即被视为集会、游行、示威的负责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第九条</w:t>
      </w:r>
      <w:r>
        <w:rPr>
          <w:rFonts w:ascii="仿宋_GB2312" w:hAnsi="仿宋_GB2312" w:eastAsia="仿宋_GB2312"/>
          <w:sz w:val="32"/>
        </w:rPr>
        <w:t>　主管公安机关接到集会、游行、示威申请后，应当在申请举行日期的两日前，将许可或者不许可的决定通知书送达申请集会、游行、示威的负责人。不许可的，应当说明理由。逾期不送达的，视为许可。由于负责人的原因致使决定通知书无法送达的，视为撤回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确因突然发生的事件临时要求举行集会、游行、示威的，必须立即报告主管公安机关；主管公安机关接到报告后，应当立即审查，决定许可或者不许可。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第十条</w:t>
      </w:r>
      <w:r>
        <w:rPr>
          <w:rFonts w:ascii="Times New Roman" w:hAnsi="Times New Roman" w:eastAsia="仿宋_GB2312"/>
          <w:sz w:val="32"/>
        </w:rPr>
        <w:t>　申请举行集会、游行、示威要求解决具体问题的，主管公安机关可以通知有关机关或者单位同申请集会、游行、示威的负责人协商解决问题，并可将申请举行的时间推迟</w:t>
      </w:r>
      <w:r>
        <w:rPr>
          <w:rFonts w:hint="default" w:ascii="Times New Roman" w:hAnsi="Times New Roman" w:eastAsia="仿宋_GB2312" w:cs="Times New Roman"/>
          <w:sz w:val="32"/>
        </w:rPr>
        <w:t>5</w:t>
      </w:r>
      <w:r>
        <w:rPr>
          <w:rFonts w:ascii="Times New Roman" w:hAnsi="Times New Roman" w:eastAsia="仿宋_GB2312"/>
          <w:sz w:val="32"/>
        </w:rPr>
        <w:t>日。有关机关或者单位应当在接到主管公安机关通知后</w:t>
      </w:r>
      <w:r>
        <w:rPr>
          <w:rFonts w:hint="default" w:ascii="Times New Roman" w:hAnsi="Times New Roman" w:eastAsia="仿宋_GB2312" w:cs="Times New Roman"/>
          <w:sz w:val="32"/>
        </w:rPr>
        <w:t>3</w:t>
      </w:r>
      <w:r>
        <w:rPr>
          <w:rFonts w:ascii="Times New Roman" w:hAnsi="Times New Roman" w:eastAsia="仿宋_GB2312"/>
          <w:sz w:val="32"/>
        </w:rPr>
        <w:t>日内将协商结果书面报告主管公安机关。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第十一条</w:t>
      </w:r>
      <w:r>
        <w:rPr>
          <w:rFonts w:ascii="仿宋_GB2312" w:hAnsi="仿宋_GB2312" w:eastAsia="仿宋_GB2312"/>
          <w:sz w:val="32"/>
        </w:rPr>
        <w:t>　申请举行的集会、游行、示威，有下列情形之一的，不予许可：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（一）反对宪法所确定的基本原则的；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（二）危害国家统一、主权和领土完整的；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（三）煽动民族分裂、破坏民族团结的；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（四）有充分根据认定申请举行的集会、游行、示威将直接危害公共安全或者严重破坏社会秩序的。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第十二条</w:t>
      </w:r>
      <w:r>
        <w:rPr>
          <w:rFonts w:ascii="仿宋_GB2312" w:hAnsi="仿宋_GB2312" w:eastAsia="仿宋_GB2312"/>
          <w:sz w:val="32"/>
        </w:rPr>
        <w:t>　对依法举行的集会、游行、示威，公安机关应当派出人民警察维持交通秩序和社会秩序。负责维持交通秩序的人民警察可以临时变通执行有关交通规则。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游行、示威在进行中遇有不可预料的情况，不能按照许可的路线行进时，人民警察现场负责人有权改变游行、示威队伍的行进路线。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第十三条</w:t>
      </w:r>
      <w:r>
        <w:rPr>
          <w:rFonts w:ascii="仿宋_GB2312" w:hAnsi="仿宋_GB2312" w:eastAsia="仿宋_GB2312"/>
          <w:sz w:val="32"/>
        </w:rPr>
        <w:t>　依法举行的集会、游行、示威，除申请参加的人员外，其他人员不得加入。禁止任何人以暴力、胁迫或者其他非法手段进行扰乱、冲击和破坏。未经主管公安机关允许，任何人不得对本省公民举行的集会、游行、示威活动进行摄影、录像、录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第十四条</w:t>
      </w:r>
      <w:r>
        <w:rPr>
          <w:rFonts w:ascii="仿宋_GB2312" w:hAnsi="仿宋_GB2312" w:eastAsia="仿宋_GB2312"/>
          <w:sz w:val="32"/>
        </w:rPr>
        <w:t>　集会、游行、示威在下列单位所在地经过的，公安机关可以在其附近设置金黄色绳带标志的临时警戒线。临时警戒线未经人民警察许可，任何人不得逾越。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（一）中国共产党青海省委员会、省人民代表大会常务委员会、省人民政府、省军区、省高级人民法院、省人民检察院和其他要害部门；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（二）州（市）、县（区、市）党政领导机关、驻地军事机关和其他要害部门；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（三）省、州（市）、县（区、市）广播电台（站）、电视台等重要新闻单位。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第十五条</w:t>
      </w:r>
      <w:r>
        <w:rPr>
          <w:rFonts w:ascii="Times New Roman" w:hAnsi="Times New Roman" w:eastAsia="仿宋_GB2312"/>
          <w:sz w:val="32"/>
        </w:rPr>
        <w:t>　下列场所周边距离</w:t>
      </w:r>
      <w:r>
        <w:rPr>
          <w:rFonts w:hint="default" w:ascii="Times New Roman" w:hAnsi="Times New Roman" w:eastAsia="仿宋_GB2312" w:cs="Times New Roman"/>
          <w:sz w:val="32"/>
        </w:rPr>
        <w:t>10</w:t>
      </w:r>
      <w:r>
        <w:rPr>
          <w:rFonts w:ascii="Times New Roman" w:hAnsi="Times New Roman" w:eastAsia="仿宋_GB2312"/>
          <w:sz w:val="32"/>
        </w:rPr>
        <w:t>米到</w:t>
      </w:r>
      <w:r>
        <w:rPr>
          <w:rFonts w:hint="default" w:ascii="Times New Roman" w:hAnsi="Times New Roman" w:eastAsia="仿宋_GB2312" w:cs="Times New Roman"/>
          <w:sz w:val="32"/>
        </w:rPr>
        <w:t>300</w:t>
      </w:r>
      <w:r>
        <w:rPr>
          <w:rFonts w:ascii="Times New Roman" w:hAnsi="Times New Roman" w:eastAsia="仿宋_GB2312"/>
          <w:sz w:val="32"/>
        </w:rPr>
        <w:t>米内，非经省人民政府批准，不得举行集会、游行、示威：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（一）国宾下榻处；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（二）重要军事设施；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（三）飞机场、火车站。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前款所列场所的具体周边距离，由省人民政府规定。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第十六条</w:t>
      </w:r>
      <w:r>
        <w:rPr>
          <w:rFonts w:ascii="仿宋_GB2312" w:hAnsi="仿宋_GB2312" w:eastAsia="仿宋_GB2312"/>
          <w:sz w:val="32"/>
        </w:rPr>
        <w:t>　未经西宁市人民政府批准，不得在西宁火车站广场举行集会、游行、示威。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第十七条</w:t>
      </w:r>
      <w:r>
        <w:rPr>
          <w:rFonts w:ascii="仿宋_GB2312" w:hAnsi="仿宋_GB2312" w:eastAsia="仿宋_GB2312"/>
          <w:sz w:val="32"/>
        </w:rPr>
        <w:t>　集会、游行、示威应当按照许可的目的、方式、标语、口号、起止时间、地点、路线及其他事项和平进行。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集会、游行、示威严禁携带武器、管制刀具和易燃易爆等危害物品，不得使用暴力或者煽动使用暴力，不得冲击或者包围国家机关，不得扰乱治安、妨害交通，不得沿途涂写刻画和张贴标语，不得损坏园林、交通设施和其他公共设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第十八条</w:t>
      </w:r>
      <w:r>
        <w:rPr>
          <w:rFonts w:ascii="仿宋_GB2312" w:hAnsi="仿宋_GB2312" w:eastAsia="仿宋_GB2312"/>
          <w:sz w:val="32"/>
        </w:rPr>
        <w:t>　举行集会、游行、示威的负责人必须负责维持秩序，并佩戴明显标志。负责人应当指定参加集会、游行、示威人数不少于十分之一的人员维持秩序。维持秩序的人员应佩戴统一标志，与现场执勤人民警察保持联系。佩戴标志的样品应在举行日期的前一日送主管公安机关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第十九条</w:t>
      </w:r>
      <w:r>
        <w:rPr>
          <w:rFonts w:ascii="仿宋_GB2312" w:hAnsi="仿宋_GB2312" w:eastAsia="仿宋_GB2312"/>
          <w:sz w:val="32"/>
        </w:rPr>
        <w:t>　公民不得在其居住地以外的城市发动、组织、参加当地公民的集会、游行、示威。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公民在本人居住地以外的城市发动、组织当地公民的集会、游行、示威的，公安机关有权强行遣回原地或者立即依法处置。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需要强行遣回原地的，由行为地的主管公安机关制作《强行遣送决定书》，并派人民警察执行。负责执行的人民警察应将被遣送人送回其居住地，连同《强行遣送决定书》交给被遣送人居住地公安机关，由居住地公安机关依法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第二十条</w:t>
      </w:r>
      <w:r>
        <w:rPr>
          <w:rFonts w:ascii="仿宋_GB2312" w:hAnsi="仿宋_GB2312" w:eastAsia="仿宋_GB2312"/>
          <w:sz w:val="32"/>
        </w:rPr>
        <w:t>　对违反《中华人民共和国集会游行示威法》和本办法的，依法追究法律责任。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第二十一条</w:t>
      </w:r>
      <w:r>
        <w:rPr>
          <w:rFonts w:ascii="仿宋_GB2312" w:hAnsi="仿宋_GB2312" w:eastAsia="仿宋_GB2312"/>
          <w:sz w:val="32"/>
        </w:rPr>
        <w:t>　外国人在本省行政区域内举行集会、游行、示威，适用《中华人民共和国集会游行示威法》和本办法的规定。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外国人未经主管公安机关批准，不得参加本省公民举行的集会、游行、示威。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632" w:firstLineChars="200"/>
        <w:textAlignment w:val="auto"/>
      </w:pPr>
      <w:r>
        <w:rPr>
          <w:rFonts w:ascii="黑体" w:hAnsi="黑体" w:eastAsia="黑体"/>
          <w:sz w:val="32"/>
        </w:rPr>
        <w:t>第二十二条</w:t>
      </w:r>
      <w:r>
        <w:rPr>
          <w:rFonts w:ascii="Times New Roman" w:hAnsi="Times New Roman" w:eastAsia="仿宋_GB2312"/>
          <w:sz w:val="32"/>
        </w:rPr>
        <w:t>　本办法自</w:t>
      </w:r>
      <w:r>
        <w:rPr>
          <w:rFonts w:hint="default" w:ascii="Times New Roman" w:hAnsi="Times New Roman" w:eastAsia="仿宋_GB2312" w:cs="Times New Roman"/>
          <w:sz w:val="32"/>
        </w:rPr>
        <w:t>1991</w:t>
      </w:r>
      <w:bookmarkStart w:id="0" w:name="_GoBack"/>
      <w:bookmarkEnd w:id="0"/>
      <w:r>
        <w:rPr>
          <w:rFonts w:ascii="Times New Roman" w:hAnsi="Times New Roman" w:eastAsia="仿宋_GB2312"/>
          <w:sz w:val="32"/>
        </w:rPr>
        <w:t>年</w:t>
      </w:r>
      <w:r>
        <w:rPr>
          <w:rFonts w:hint="default" w:ascii="Times New Roman" w:hAnsi="Times New Roman" w:eastAsia="仿宋_GB2312" w:cs="Times New Roman"/>
          <w:sz w:val="32"/>
        </w:rPr>
        <w:t>5</w:t>
      </w:r>
      <w:r>
        <w:rPr>
          <w:rFonts w:ascii="Times New Roman" w:hAnsi="Times New Roman" w:eastAsia="仿宋_GB2312"/>
          <w:sz w:val="32"/>
        </w:rPr>
        <w:t>月</w:t>
      </w:r>
      <w:r>
        <w:rPr>
          <w:rFonts w:hint="default" w:ascii="Times New Roman" w:hAnsi="Times New Roman" w:eastAsia="仿宋_GB2312" w:cs="Times New Roman"/>
          <w:sz w:val="32"/>
        </w:rPr>
        <w:t>1</w:t>
      </w:r>
      <w:r>
        <w:rPr>
          <w:rFonts w:ascii="Times New Roman" w:hAnsi="Times New Roman" w:eastAsia="仿宋_GB2312"/>
          <w:sz w:val="32"/>
        </w:rPr>
        <w:t>日起施行。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397" w:gutter="0"/>
      <w:cols w:space="708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宋体"/>
    <w:panose1 w:val="020B0604020202020204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eastAsia="宋体"/>
      </w:rPr>
    </w:pPr>
    <w:r>
      <w:rPr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　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NotTrackMoves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Y2MWQ1OWU1MTNiNzMzYTVjNmU3OTRlNWM4YmY2MzUifQ=="/>
  </w:docVars>
  <w:rsids>
    <w:rsidRoot w:val="000E703F"/>
    <w:rsid w:val="00005CBA"/>
    <w:rsid w:val="00067A46"/>
    <w:rsid w:val="000B3473"/>
    <w:rsid w:val="000D062B"/>
    <w:rsid w:val="000E703F"/>
    <w:rsid w:val="000F0A3D"/>
    <w:rsid w:val="000F7DA8"/>
    <w:rsid w:val="00131BA9"/>
    <w:rsid w:val="0013352A"/>
    <w:rsid w:val="0016100C"/>
    <w:rsid w:val="00166DBD"/>
    <w:rsid w:val="00194C5F"/>
    <w:rsid w:val="001D56C5"/>
    <w:rsid w:val="001E2980"/>
    <w:rsid w:val="00226845"/>
    <w:rsid w:val="002434D9"/>
    <w:rsid w:val="002447F6"/>
    <w:rsid w:val="00247B39"/>
    <w:rsid w:val="00265F71"/>
    <w:rsid w:val="002E3D11"/>
    <w:rsid w:val="002F77E5"/>
    <w:rsid w:val="00303251"/>
    <w:rsid w:val="00307CD3"/>
    <w:rsid w:val="00315BE5"/>
    <w:rsid w:val="00353AD7"/>
    <w:rsid w:val="003A0332"/>
    <w:rsid w:val="003F636B"/>
    <w:rsid w:val="00420DB2"/>
    <w:rsid w:val="0044207F"/>
    <w:rsid w:val="0048283C"/>
    <w:rsid w:val="004D5710"/>
    <w:rsid w:val="004F542C"/>
    <w:rsid w:val="00550A4A"/>
    <w:rsid w:val="005667BC"/>
    <w:rsid w:val="005A4A7E"/>
    <w:rsid w:val="005C49EF"/>
    <w:rsid w:val="005F0A94"/>
    <w:rsid w:val="00610663"/>
    <w:rsid w:val="00616EB4"/>
    <w:rsid w:val="0066351E"/>
    <w:rsid w:val="006A6786"/>
    <w:rsid w:val="006B2EDC"/>
    <w:rsid w:val="006C7885"/>
    <w:rsid w:val="006D3381"/>
    <w:rsid w:val="006E600C"/>
    <w:rsid w:val="00785C4E"/>
    <w:rsid w:val="007A6644"/>
    <w:rsid w:val="0082159D"/>
    <w:rsid w:val="00834B22"/>
    <w:rsid w:val="008351B6"/>
    <w:rsid w:val="008503CF"/>
    <w:rsid w:val="00867A37"/>
    <w:rsid w:val="008A10A6"/>
    <w:rsid w:val="008D32FC"/>
    <w:rsid w:val="00937399"/>
    <w:rsid w:val="009D4E62"/>
    <w:rsid w:val="00A07177"/>
    <w:rsid w:val="00A87604"/>
    <w:rsid w:val="00AE3FEB"/>
    <w:rsid w:val="00B12059"/>
    <w:rsid w:val="00B32293"/>
    <w:rsid w:val="00B718F5"/>
    <w:rsid w:val="00B90B92"/>
    <w:rsid w:val="00BB0938"/>
    <w:rsid w:val="00BB259A"/>
    <w:rsid w:val="00BC1DEF"/>
    <w:rsid w:val="00BC4088"/>
    <w:rsid w:val="00BF513D"/>
    <w:rsid w:val="00C16EFC"/>
    <w:rsid w:val="00C97FAE"/>
    <w:rsid w:val="00CC1CE5"/>
    <w:rsid w:val="00CC393A"/>
    <w:rsid w:val="00D0095F"/>
    <w:rsid w:val="00D50578"/>
    <w:rsid w:val="00D625F1"/>
    <w:rsid w:val="00D64B65"/>
    <w:rsid w:val="00D677FE"/>
    <w:rsid w:val="00DB69C0"/>
    <w:rsid w:val="00DB7DE9"/>
    <w:rsid w:val="00DC4D4C"/>
    <w:rsid w:val="00DD7D16"/>
    <w:rsid w:val="00EA2922"/>
    <w:rsid w:val="00ED7C16"/>
    <w:rsid w:val="00EE2B0F"/>
    <w:rsid w:val="00EE52D1"/>
    <w:rsid w:val="00F352BC"/>
    <w:rsid w:val="00F3612D"/>
    <w:rsid w:val="00F4604E"/>
    <w:rsid w:val="00F53731"/>
    <w:rsid w:val="00F72984"/>
    <w:rsid w:val="00F7674E"/>
    <w:rsid w:val="00F97604"/>
    <w:rsid w:val="00FA7EE2"/>
    <w:rsid w:val="00FD0030"/>
    <w:rsid w:val="05EE09DC"/>
    <w:rsid w:val="0D9804AC"/>
    <w:rsid w:val="11E4354D"/>
    <w:rsid w:val="16DC7373"/>
    <w:rsid w:val="344634A2"/>
    <w:rsid w:val="3DE63740"/>
    <w:rsid w:val="481351D2"/>
    <w:rsid w:val="53543565"/>
    <w:rsid w:val="558A062C"/>
    <w:rsid w:val="622F12CF"/>
    <w:rsid w:val="653E08AD"/>
    <w:rsid w:val="6C245F31"/>
    <w:rsid w:val="71B9247E"/>
    <w:rsid w:val="7F47D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unhideWhenUsed/>
    <w:qFormat/>
    <w:uiPriority w:val="99"/>
    <w:rPr>
      <w:color w:val="954F72"/>
      <w:u w:val="single"/>
    </w:rPr>
  </w:style>
  <w:style w:type="character" w:styleId="7">
    <w:name w:val="Hyperlink"/>
    <w:qFormat/>
    <w:uiPriority w:val="99"/>
    <w:rPr>
      <w:rFonts w:hint="default" w:ascii="ˎ̥" w:hAnsi="ˎ̥"/>
      <w:color w:val="0404B3"/>
      <w:sz w:val="18"/>
      <w:szCs w:val="18"/>
      <w:u w:val="none"/>
    </w:rPr>
  </w:style>
  <w:style w:type="character" w:customStyle="1" w:styleId="8">
    <w:name w:val="页脚 字符"/>
    <w:link w:val="2"/>
    <w:qFormat/>
    <w:uiPriority w:val="99"/>
    <w:rPr>
      <w:sz w:val="18"/>
      <w:szCs w:val="18"/>
    </w:rPr>
  </w:style>
  <w:style w:type="character" w:customStyle="1" w:styleId="9">
    <w:name w:val="页眉 字符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2017-11-15T10:33:00Z</dcterms:created>
  <dc:creator>YF-INT6</dc:creator>
  <cp:lastModifiedBy>NO.  Pream</cp:lastModifiedBy>
  <dcterms:modified xsi:type="dcterms:W3CDTF">2024-04-08T08:49:50Z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9F633554657A46FBBBAB96484093276D</vt:lpwstr>
  </property>
  <property fmtid="{D5CDD505-2E9C-101B-9397-08002B2CF9AE}" pid="3" name="KSOProductBuildVer">
    <vt:lpwstr>2052-12.1.0.16399</vt:lpwstr>
  </property>
</Properties>
</file>