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沈阳市海绵城市建设管理条例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（2023年10月25日沈阳市第十七届人民代表大会常务委员会第十二次会议通过；2023年11月14日辽宁省第十四届人民代表大会常务委员会第六次会议批准）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为了规范海绵城市建设管理，增强城市防洪排涝与防灾减灾能力，推进生态文明建设，根据有关法律、法规的规定，结合本市实际，制定本条例。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本市行政区域内海绵城市的规划、建设、运行、维护和管理活动，适用本条例。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本条例所称海绵城市设施，主要包括具有“渗、滞、蓄、净、用、排”功能的绿色雨水设施，分为渗滞、集蓄利用、调蓄、转输、截污净化等类型。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海绵城市建设管理应当坚持生态为本、自然循环、规划引领、因地制宜、统筹推进、政府引导、社会参与的原则。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市和区、县（市）人民政府是海绵城市建设的责任主体，应当将海绵城市建设纳入国民经济和社会发展规划，建立健全海绵城市建设管理体制，统筹海绵城市建设管理工作，建立海绵城市建设考核制度。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市和区、县（市）建设主管部门是海绵城市建设的综合管理部门，负责组织、推进海绵城市建设管理工作。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市和区、县（市）自然资源主管部门负责海绵城市建设的规划管理工作。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市和区、县（市）发展改革主管部门负责在建设项目立项审批过程中，对项目建设内容中的海绵城市建设部分进行评审。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市和区、县（市）水务主管部门负责落实海绵城市建设水务工作指标，严格管控城市河湖水域空间，因地制宜做好河湖水系连通工作，加强承泄设施建设管理，完善城市防洪排涝体系。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市和区、县（市）财政主管部门负责配合项目主管部门将海绵城市建设项目纳入同级财政预算，配合推进海绵城市建设投融资和多渠道筹集资金的相关工作。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城市管理行政执法、生态环境、市政公用、交通、房产、卫生健康、气象、教育、大数据等主管部门应当按照各自职责，做好海绵城市建设管理的相关工作。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市和区、县（市）人民政府应当加强对海绵城市建设的宣传，提高社会公众对海绵城市的认知和认同，引导、鼓励单位和个人参与海绵城市建设活动。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市和区、县（市）人民政府应当鼓励、支持海绵城市建设的科学研究和技术创新，推广应用海绵城市新技术、新工艺、新材料和新设备，发挥科学技术在海绵城市建设和管理中的支撑作用。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市人民政府应当积极推进海绵城市建设管理智慧监管系统建设，提升海绵城市建设管理信息化水平。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市和县（市）自然资源主管部门应当会同同级建设、水务、绿化等主管部门依法编制海绵城市专项规划。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市和县（市）自然资源主管部门应当在海绵城市专项规划中明确雨水年径流总量控制率等海绵城市技术指标，并将海绵城市建设主要技术指标纳入土地供应、规划设计方案审定、建设工程规划许可等环节。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市和区、县（市）有关主管部门编制的道路、绿化、水系、排水防涝等专项规划，应当与海绵城市专项规划相衔接。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建设项目中新建、扩建工程的雨水年径流总量控制率等技术指标，应当符合海绵城市建设规划设计条件和技术标准要求。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建设项目中改建工程的雨水年径流总量控制率等技术指标，应当全面考虑海绵城市建设要求。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海绵城市建设中低影响开发设施应当与建设项目的主体工程同时规划设计、同时施工、同时投入使用。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建设项目应当按照下列要求建设海绵城市设施：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（一）建筑与小区按照低影响开发要求规划建设雨水系统，提高对雨水的积存和滞蓄能力；老旧小区改造项目结合内部排水管网整治、小区道路改扩建、绿地改造等工程因地制宜建设海绵城市设施。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（二）道路、广场和停车场建设透水铺装等海绵城市设施，或者利用人行道、绿化隔离带以及相邻绿地对雨水进行下渗、滞蓄、净化。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（三）公园和绿地建设生物滞留设施、下沉式绿地等海绵城市设施。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（四）城市排水防涝系统因地制宜实施雨污分流改造，科学布局雨水调蓄利用设施。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（五）城市坑塘、河湖、湿地因地制宜恢复和保持水系连通，增强水体流动性，提高雨洪径流的调蓄调配能力。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（六）公共服务设施减少硬质铺装面积，根据需要配套建设雨水收集利用设施。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（七）工矿企业和工业厂区因地制宜建设雨水收集、净化、蓄存和利用设施。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（八）其他类型建设项目由其行业主管部门根据海绵城市规划与技术标准等内容制定具体建设要求。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采取雨水调蓄方式实现雨水年径流总量控制率的建设项目，应当按照国家、省有关规定进行雨水综合利用。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建设单位应当在建设项目的规划设计方案、可行性研究报告（实施方案）、初步设计、施工图设计文件中编制海绵城市专篇，落实海绵城市建设和技术标准。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勘察单位应当按照工程建设强制性标准进行勘察，保证提供的地质、测量、水文等勘察成果真实、准确。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设计单位应当按照海绵城市建设相关技术标准和规范，结合我市气候特点开展设计，形成海绵城市专篇，符合海绵城市雨水年径流总量控制率等指标要求和气候条件对海绵城市设施的要求。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在施工过程中应当使用合格的建筑材料、建筑构配件和设备；应当按照审查合格的施工图设计文件、海绵城市建设和技术标准进行施工；应当作好隐蔽工程的质量检查和记录。隐蔽工程在隐蔽前，施工单位应当通知建设单位和建设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监理单位应当依照法律、法规以及海绵城市建设相关技术标准和规范、设计文件和建设工程承包合同实施监理，对施工质量承担监理责任。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施工图审查机构应当对施工图设计文件中的海绵城市专篇依法进行审查。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市和区、县（市）建设主管部门应当将海绵城市建设纳入建设工程质量监督管理范围。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建设项目竣工后，建设单位应当依法组织勘察、设计、施工、监理单位对建设项目和海绵城市设施同步进行验收。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建设单位应当在竣工验收报告中写明海绵城市相关工程措施的落实情况，并按照国家有关规定报市或者区、县（市）建设主管部门或者其他有关部门备案。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城市道路、绿地、广场、排水防涝等市政公用设施中的海绵城市设施，由市或者区、县（市）有关主管部门或者其委托的专业单位负责运行与维护。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公共建筑、住宅小区、工业厂区等的海绵城市设施由所有权人或者其委托的单位负责运行与维护。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运行维护单位不明确的，按照“谁使用、谁维护</w:t>
      </w:r>
      <w:bookmarkStart w:id="0" w:name="_GoBack"/>
      <w:r>
        <w:rPr>
          <w:rFonts w:ascii="仿宋_GB2312" w:hAnsi="仿宋_GB2312" w:eastAsia="仿宋_GB2312"/>
          <w:sz w:val="32"/>
        </w:rPr>
        <w:t>”</w:t>
      </w:r>
      <w:bookmarkEnd w:id="0"/>
      <w:r>
        <w:rPr>
          <w:rFonts w:ascii="仿宋_GB2312" w:hAnsi="仿宋_GB2312" w:eastAsia="仿宋_GB2312"/>
          <w:sz w:val="32"/>
        </w:rPr>
        <w:t>的原则确定运行维护单位。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海绵城市设施运行维护单位应当建立健全管理制度，对海绵城市设施进行登记，开展定期巡查、养护和维修工作；对隐蔽建设和存在安全风险的海绵城市设施设置警示标识，制定应急处理预案，保障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任何单位和个人不得擅自挖掘、拆除、改动、占用或者损毁海绵城市设施及其配套监测设备。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等原因需要挖掘、拆除、改动、占用海绵城市设施或者其配套监测设备的，建设单位应当依法报经市或者区、县（市）有关主管部门同意，按照原技术指标恢复，并承担重建、改建和采取临时措施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任何单位和个人都有权对危害或者损坏海绵城市设施的行为进行劝阻、制止，向市或者区、县（市）有关主管部门举报。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市和区、县（市）建设主管部门应当对海绵城市建设情况进行考核，并对海绵城市设施运行情况进行监督检查，有关单位和个人应当予以配合。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建设、勘察、设计、施工、监理、施工图审查等单位及其从业人员违反本条例规定的，由市或者区、县（市）建设主管部门按照国家有关规定记入建筑市场信用管理系统。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市和区、县（市）有关主管部门的工作人员在海绵城市建设管理中滥用职权、玩忽职守、徇私舞弊的，依法给予处分；构成犯罪的，依法追究刑事责任。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E371F8"/>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2024-01-11T03:00:42Z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