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荆门市城市建筑垃圾管理条例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（2018年6月28日荆门市第九届人民代表大会常务委员会第十三次会议通过　2018年7月26日湖北省第十三届人民代表大会常务委员会第四次会议批准　根据2023年8月24日荆门市第十届人民代表大会常务委员会第十三次会议通过　2023年9月27日湖北省第十四届人民代表大会常务委员会第五次会议批准的《荆门市人民代表大会常务委员会关于集中修改部分地方性法规的决定》修正）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为了规范城市建筑垃圾管理，维护</w:t>
      </w:r>
      <w:bookmarkStart w:id="0" w:name="_GoBack"/>
      <w:bookmarkEnd w:id="0"/>
      <w:r>
        <w:rPr>
          <w:rFonts w:ascii="仿宋_GB2312" w:hAnsi="仿宋_GB2312" w:eastAsia="仿宋_GB2312"/>
          <w:sz w:val="32"/>
        </w:rPr>
        <w:t>城市容貌和环境卫生，保护和改善生态环境，根据《中华人民共和国固体废物污染环境防治法》、《城市市容和环境卫生管理条例》等法律、法规，结合本市实际，制定本条例。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本市实行城市化管理区域内建筑垃圾的收集、运输、利用、填埋等处置活动及其监督管理，适用本条例。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本条例所称建筑垃圾是指在新建、改建、扩建、修缮、拆除各类建筑物、构筑物、管网、道路和装饰装修房屋等活动中产生的弃土、弃料和其他废弃物。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建筑垃圾处置应当遵循减量化、资源化、无害化的原则。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县级以上人民政府应当加强对城市建筑垃圾管理工作的领导，建立建筑垃圾管理协调机制，研究解决建筑垃圾管理中的重大事项，督促城市建筑垃圾管理主管部门和相关主管部门依法履行监督管理职责。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县级以上城市管理主管部门主管城市建筑垃圾管理工作，相关主管部门在各自职责范围内做好建筑垃圾管理工作。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本市推广装配式建筑，推行建筑全装修，逐年提高装配式建筑、住宅全装修比例。市政道桥、综合管廊等工程应当逐步实施装配式建造。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建设单位、工程施工单位应当按照规划、环保等方面的要求，就地利用建筑垃圾，减少建筑垃圾排放。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搭设施工现场临时建筑物、临时围挡的，应当采用可重复使用的材料。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建立建筑垃圾分类制度。市城市管理主管部门应当根据相关规定制定建筑垃圾分类标准，向社会公布。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工程施工单位应当在施工现场配备建筑垃圾管理人员，按照下列规定处理建筑垃圾：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（一）编制建筑垃圾处理方案。建筑垃圾处理方案包括建筑垃圾的产生地点、总量、类型、分类处理方式、运输单位、运输车辆、运输路线、运输时间等内容。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（二）在开工五日前将建筑垃圾处理方案向工程所在地县级城市管理主管部门或者其派驻机构备案。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建设单位或者个人已经按照前款规定处置建筑垃圾的，工程施工单位可以不重复履行前款义务。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县级城市管理主管部门或者其派驻机构收到建筑垃圾分类处置方案后，应当在五日内安排工作人员现场核查、指导。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在城市道路进行管线铺设、道路开挖、管道清污等作业的，应当在施工完成后二十四小时内将建筑垃圾分类处理完毕。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拆除作业产生建筑垃圾的，应当当日分类处理完毕；当日不能处理完毕的，应当设置安全警示标识，采取防尘、防渗、防滑坡等措施，在拆除作业全部完成后三十日内分类处理完毕。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因抢险、救灾等特殊情况产生建筑垃圾的，应当在抢险救灾的同时报告所在地县级城市管理主管部门。县级城市管理主管部门应当安排工作人员现场监管，督促及时分类处理建筑垃圾。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筑垃圾运输行业发展实行规划管理。市城市管理主管部门应当会同发展改革、公安、生态环境、交通运输等主管部门，根据建筑垃圾产生量和运输市场容量，编制建筑垃圾运输行业发展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建筑垃圾运输单位应当在施工现场配备运输管理人员对运输车辆作业进行监督管理，并遵守下列规定：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（一）随车携带县级城市管理主管部门配发的建筑垃圾运输车辆标识；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（二）按照建筑垃圾分类标准分类运输；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（三）运输车辆配备装卸记录仪和具有卫星定位功能的汽车行驶记录仪，并正常使用；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（四）运输车辆车门两侧标注运输单位名称，车顶加装车辆识别灯，并保持车辆识别灯正常使用；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（五）运输车辆按照规定的时间和路线实行全密闭运输，不得沿途丢弃、遗撒建筑垃圾；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（六）运输至县级以上人民政府同意设立的建筑垃圾处理场；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外市建筑垃圾运输单位到本市从事建筑垃圾运输的，应当遵守前款规定。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建筑垃圾处理场分为建筑垃圾转运场、资源化利用场、回填场和填埋场。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市城市管理主管部门应当会同自然资源、生态环境、水行政等主管部门，编制建筑垃圾处理场建设规划，采取论证会、听证会或者其他方式征求专家和公众的意见，报市人民政府批准后公布实施。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各级人民政府应当按照建筑垃圾处理场建设规划，组织建设建筑垃圾处理场。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建筑垃圾处理场的设立应当符合建筑垃圾处理场建设规划，并经县级以上人民政府同意。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建筑垃圾处理场应当符合下列规定：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（一）按照建筑垃圾分类标准堆放或者填埋建筑垃圾，不得受纳工业固体废物、生活垃圾、危险废物；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（二）四周有符合相关标准的围挡，出入口道路实行硬化，并设置明显的指引标识；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（三）设置洗车槽、沉淀池、排水沟等设施，配备车辆冲洗设备，实行专人管理，保持相关设施、设备正常使用；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（四）具有相应的机械和设备，实施分区作业，并采取有效措施防治噪声和扬尘污染，防止滑坡；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（五）有健全的环境卫生和安全管理制度并有效执行；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（六）记录进入建筑垃圾处理场的运输车辆、受纳建筑垃圾数量，定期向所在地县级城市管理主管部门报告；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未经县级以上人民政府同意，建筑垃圾处理场不得关闭或者拒绝受纳本行政区域的建筑垃圾。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达到设计容量或者因其他原因无法继续受纳建筑垃圾的，应当提前三个月报告所在地县级城市管理主管部门，由县级城市管理主管部门会同生态环境主管部门现场勘查确认，报县级以上人民政府同意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经同意关闭的建筑垃圾处理场，应当按照相关技术规范封场平整、复垦或者绿化。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工程施工单位需要使用施工现场的建筑垃圾回填的，应当使用符合回填标准的建筑垃圾。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工程施工单位需要使用施工现场外的建筑垃圾回填的，应当在回填施工五日前向施工现场所在地县级城市管理主管部门或者其派驻机构报告回填地点、回填量、符合回填标准的建筑垃圾来源等事项。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建设单位或者个人已经履行前款报告义务的，工程施工单位可以不重复报告。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各级人民政府应当根据绿色发展要求，优先发展建筑垃圾资源化产业，推动建筑垃圾循环利用。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各类工程项目应当优先使用建筑垃圾及其资源化产品。利用财政性资金建设的工程项目，应当提高使用建筑垃圾及其资源化产品的比例。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物业服务企业应当在物业管理区域内设置和管理装饰装修垃圾临时堆放点，将装饰装修垃圾交由建筑垃圾运输单位运输。乡、民族乡、镇人民政府，街道办事处应当在未实行物业管理的区域内，设置和管理居民房屋装饰装修垃圾临时堆放点，及时将装饰装修垃圾交由建筑垃圾运输单位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居民装饰装修房屋，无工程施工单位的，应当袋装收集装饰装修垃圾，投放至装饰装修垃圾临时堆放点。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单位装饰装修房屋，无工程施工单位的，应当将装饰装修垃圾交由物业服务企业按照本条第一款规定处理；未实行物业管理的，应当将装饰装修垃圾交由建筑垃圾运输单位运输。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装饰装修房屋，有工程施工单位的，应当遵守本条例第七条第一款规定。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县级以上城市管理主管部门应当建立建筑垃圾处置信息共享平台。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建筑垃圾管理主管部门和相关主管部门应当及时向建筑垃圾处置信息共享平台提供下列信息：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（一）建筑垃圾产生与需求信息；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（二）建筑垃圾运输单位及运输车辆信息；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（三）建筑垃圾处理场信息；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（四）与建筑垃圾处置相关的行政执法信息。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建筑垃圾处置信息共享平台应当将前款规定信息向社会公开并及时更新。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市城市管理主管部门应当会同公安、交通运输等主管部门，建立建筑垃圾运输单位年度信用考核评价体系和市场退出机制。具体办法由市城市管理主管部门制定，报市人民政府批准后公布实施。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市住房和城乡建设主管部门应当将工程施工单位现场处置建筑垃圾情况，纳入建筑业企业信用考核。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单位和个人违反本条例处置建筑垃圾受到行政处罚的信息，应当纳入社会信用信息服务平台。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制定建筑垃圾源头减量减排和资源化及其利用的扶持政策，鼓励、支持建筑垃圾源头减量减排和资源化及其利用中新技术、新工艺、新材料、新设备的研究、开发和使用，引导社会资本投资建筑垃圾源头减量减排和资源化及其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任何单位和个人有权对违反本条例规定处置建筑垃圾的行为进行劝阻和举报。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县级城市管理主管部门应当对举报及时处理、反馈，不得泄露举报人信息；举报属实的，应当按照规定给予奖励。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筑垃圾管理主管部门和相关主管部门，乡、民族乡、镇人民政府，街道办事处及其工作人员违反本条例规定，在建筑垃圾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违反本条例第十条规定，建筑垃圾运输单位有下列行为之一的，由县级以上城市管理主管部门按照以下规定处罚：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（一）未随车携带县级城市管理主管部门配发的建筑垃圾运输车辆标识的，每车次处二百元罚款；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（二）未按照建筑垃圾分类标准分类运输建筑垃圾的，每车次处一千元罚款；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（三）未按照规定配备装卸记录仪和汽车行驶记录仪，或者已经配备但未正常使用的，每车次处一千元罚款；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（四）未按照规定的时间和路线运输的，每车次处五百元罚款；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（五）沿途丢弃、遗撒建筑垃圾的，责令限期改正，并处五千元以上三万元以下罚款；逾期不改正的，县级以上城市管理主管部门应当组织清除，清除费用由运输单位承担。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违反本条例第十一条第四款规定，未经同意设立建筑垃圾处理场的，由县级以上城市管理主管部门责令改正，没收违法所得，并对单位处五千元以上一万元以下罚款，对个人处一千元以上三千元以下罚款。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违反本条例第十二条规定，未遵守建筑垃圾处理场管理规定的，由县级以上城市管理主管部门责令限期改正；逾期不改正的，处五千元以上二万元以下罚款。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违反本条例第十三条第一款规定，未经同意关闭建筑垃圾处理场或者拒绝受纳本行政区域的建筑垃圾的，由县级以上城市管理主管部门责令限期改正；逾期不改正的，处一万元以上三万元以下罚款。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违反本条例第十四条第二款规定，未按照要求报告或者报告严重失实的，由县级以上城市管理主管部门责令限期改正；逾期不改正的，处二千元以上一万元以下罚款。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六条第一款规定，物业服务企业未设置装饰装修垃圾临时堆放点，或者未按照要求交运装饰装修垃圾的，由县级以上城市管理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违反本条例第十六条第二款规定，未袋装收集并投放至装饰装修垃圾临时堆放点的，由县级以上城市管理主管部门责令改正，并处二百元以上五百元以下罚款。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违反本条例第十六条第三款规定，单位装饰装修房屋不按照要求交运装饰装修垃圾的，由县级以上城市管理主管部门责令限期改正；逾期不改正的，处一千元以上五千元以下罚款。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违反本条例规定的行为，法律、法规对法律责任有规定的，从其规定。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县级以上人民政府按照实际需要，可以制定建筑垃圾处置费管理办法。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本条例自2018年11月1日起施行。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8D4BC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2024-01-23T01:12:39Z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