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jc w:val="center"/>
      </w:pPr>
      <w:r>
        <w:rPr>
          <w:rFonts w:ascii="宋体" w:hAnsi="宋体" w:eastAsia="宋体"/>
          <w:sz w:val="44"/>
        </w:rPr>
        <w:t>昆明市文明观赏红嘴鸥规定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</w:pPr>
      <w:r>
        <w:rPr>
          <w:rFonts w:ascii="Times New Roman" w:hAnsi="Times New Roman" w:eastAsia="楷体_GB2312"/>
          <w:sz w:val="32"/>
        </w:rPr>
        <w:t>（2023年8月30日昆明市第十五届人民代表大会常务委员会第十三次会议通过　2023年9月23日云南省第十四届人民代表大会常务委员会第五次会议批准）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第一条</w:t>
      </w:r>
      <w:r>
        <w:rPr>
          <w:rFonts w:ascii="仿宋_GB2312" w:hAnsi="仿宋_GB2312" w:eastAsia="仿宋_GB2312"/>
          <w:sz w:val="32"/>
        </w:rPr>
        <w:t>　为了规范文明观赏红嘴鸥的行为，加强对红嘴鸥的保护，促进人与自然和谐共生，根据《中华人民共和国野生动物保护法》《云南省陆生野生动物保护条例》等法律、法规，结合本市实际，制定本规定。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第二条</w:t>
      </w:r>
      <w:r>
        <w:rPr>
          <w:rFonts w:ascii="仿宋_GB2312" w:hAnsi="仿宋_GB2312" w:eastAsia="仿宋_GB2312"/>
          <w:sz w:val="32"/>
        </w:rPr>
        <w:t>　本市行政区域内观赏红嘴鸥适用本规定。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第三条</w:t>
      </w:r>
      <w:r>
        <w:rPr>
          <w:rFonts w:ascii="仿宋_GB2312" w:hAnsi="仿宋_GB2312" w:eastAsia="仿宋_GB2312"/>
          <w:sz w:val="32"/>
        </w:rPr>
        <w:t>　观赏红嘴鸥时，应当遵守下列规定：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（一）遵守文明观赏红嘴鸥的行为规范，服从现场管理；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（二）尊重红嘴鸥的自然习性，保持适当观赏距离，文明拍摄，避免直接接触；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（三）投喂红嘴鸥时，应当在陆地区域投喂符合标准的鸥粮。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第四条</w:t>
      </w:r>
      <w:r>
        <w:rPr>
          <w:rFonts w:ascii="仿宋_GB2312" w:hAnsi="仿宋_GB2312" w:eastAsia="仿宋_GB2312"/>
          <w:sz w:val="32"/>
        </w:rPr>
        <w:t>　观赏红嘴鸥时，禁止下列行为：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（一）故意侵扰、惊吓、驱赶、伤害红嘴鸥；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（二）在红嘴鸥聚集觅食、栖息地，燃放烟花爆竹、擅自放飞无人机等惊扰红嘴鸥的行为；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（三）非法猎捕红嘴鸥。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第五条</w:t>
      </w:r>
      <w:r>
        <w:rPr>
          <w:rFonts w:ascii="Times New Roman" w:hAnsi="Times New Roman" w:eastAsia="仿宋_GB2312"/>
          <w:sz w:val="32"/>
        </w:rPr>
        <w:t>　违反本规定，有故意侵扰、惊吓、驱赶、伤害红嘴鸥行为的，由有关行政主管部门责令改正；拒不改正的，处50元以上500元以下罚款。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违反本规定其他行为的，按照相关法律、法规的规定处罚。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第六条</w:t>
      </w:r>
      <w:r>
        <w:rPr>
          <w:rFonts w:ascii="仿宋_GB2312" w:hAnsi="仿宋_GB2312" w:eastAsia="仿宋_GB2312"/>
          <w:sz w:val="32"/>
        </w:rPr>
        <w:t>　县（市、区）人民政府有关部门应当在观赏区域设置举报点并公布举报、救助电话。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第七条</w:t>
      </w:r>
      <w:r>
        <w:rPr>
          <w:rFonts w:ascii="Times New Roman" w:hAnsi="Times New Roman" w:eastAsia="仿宋_GB2312"/>
          <w:sz w:val="32"/>
        </w:rPr>
        <w:t>　本规</w:t>
      </w:r>
      <w:bookmarkStart w:id="0" w:name="_GoBack"/>
      <w:bookmarkEnd w:id="0"/>
      <w:r>
        <w:rPr>
          <w:rFonts w:ascii="Times New Roman" w:hAnsi="Times New Roman" w:eastAsia="仿宋_GB2312"/>
          <w:sz w:val="32"/>
        </w:rPr>
        <w:t>定自2023年11月1日起施行。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NiOWM4MTNkMDNkNTZjZDBlZTJkNmRiODUwMzY5ZDk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5EE09DC"/>
    <w:rsid w:val="0D9804AC"/>
    <w:rsid w:val="11E4354D"/>
    <w:rsid w:val="16DC7373"/>
    <w:rsid w:val="344634A2"/>
    <w:rsid w:val="3DE63740"/>
    <w:rsid w:val="481351D2"/>
    <w:rsid w:val="53543565"/>
    <w:rsid w:val="558A062C"/>
    <w:rsid w:val="622F12CF"/>
    <w:rsid w:val="653E08AD"/>
    <w:rsid w:val="703273F8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striveforbetter</cp:lastModifiedBy>
  <dcterms:modified xsi:type="dcterms:W3CDTF">2023-11-06T10:34:40Z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2052-12.1.0.15712</vt:lpwstr>
  </property>
</Properties>
</file>