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bookmarkStart w:id="0" w:name="_GoBack"/>
      <w:bookmarkEnd w:id="0"/>
    </w:p>
    <w:p>
      <w:pPr>
        <w:pStyle w:val="13"/>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w:t>
      </w:r>
    </w:p>
    <w:p>
      <w:pPr>
        <w:pStyle w:val="13"/>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渔港水域交通安全管理条例</w:t>
      </w:r>
    </w:p>
    <w:p>
      <w:pPr>
        <w:pStyle w:val="13"/>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(1989年7月3日中华人民共和国国务院令第38号发布　根据2011年1月8日《国务院关于废止和修改部分行政法规的决定》第一次修订　根据2017年10月7日《国务院关于修改部分行政法规的决定》第二次修订　根据2019年3月2日《国务院关于修改部分行政法规的决定》第三次修订)</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根据《中华人民共和国海上交通安全法》第四十八条的规定，制定本条例。</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本条例适用于在中华人民共和国沿海以渔业为主的渔港和渔港水域(以下简称</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渔港</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渔港水域</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)航行、停泊、作业的船舶、设施和人员以及船舶、设施的所有者、经营者。</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中华人民共和国渔政渔港监督管理机关是对渔港水域交通安全实施监督管理的主管机关，并负责沿海水域渔业船舶之间交通事故的调查处理。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本条例下列用语的含义是：</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渔港是指主要为渔业生产服务和供渔业船舶停泊、避风、装卸渔获物和补充渔需物资的人工港口或者自然港湾。</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渔港水域是指渔港的港池、锚地、避风湾和航道。</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渔业船舶是指从事渔业生产的船舶以及属于水产系统为渔业生产服务的船舶，包括捕捞船、养殖船、水产运销船、冷藏加工船、油船、供应船、渔业指导船、科研调查船、教学实习船、渔港工程船、拖轮、交通船、驳船、渔政船和渔监船。</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对渔港认定有不同意见的，依照港口隶属关系由县级以上人民政府确定。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船舶进出渔港必须遵守渔港管理章程以及国际海上避碰规则，并依照规定向渔政渔港监督管理机关报告，接受安全检查。</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渔港内的船舶必须服从渔政渔港监督管理机关对水域交通安全秩序的管理。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船舶在渔港内停泊、避风和装卸物资，不得损坏渔港的设施装备；造成损坏的应当向渔政渔港监督管理机关报告，并承担赔偿责任。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船舶在渔港内装卸易燃、易爆、有毒等危险货物，必须遵守国家关于危险货物管理的规定，并事先向渔政渔港监督管理机关提出申请，经批准后在指定的安全地点装卸。</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在渔港内新建、改建、扩建各种设施，或者进行其他水上、水下施工作业，除依照国家规定履行审批手续外，应当报请渔政渔港监督管理机关批准。渔政渔港监督管理机关批准后，应当事先发布航行通告。</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在渔港内的航道、港池、锚地和停泊区，禁止从事有碍海上交通安全的捕捞、养殖等生产活动。</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国家公务船舶在执行公务时进出渔港，经通报渔政渔港监督管理机关，可免于检查。渔政渔港监督管理机关应当对执行海上巡视任务的国家公务船舶的靠岸、停泊和补给提供方便。</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渔业船舶在向渔政渔港监督管理机关申请船舶登记，并取得渔业船舶国籍证书或者渔业船舶登记证书后，方可悬挂中华人民共和国国旗航行。</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渔业船舶必须经船舶检验部门检验合格，取得船舶技术证书，方可从事渔业生产。</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渔业船舶的船长、轮机长、驾驶员、轮机员、电机员、无线电报务员、话务员，必须经渔政渔港监督管理机关考核合格，取得职务证书，其他人员应当经过相应的专业训练。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地方各级人民政府应当加强本行政区域内渔业船舶船员的技术培训工作。国营、集体所有的渔业船舶，其船员的技术培训由渔业船舶所属单位负责；个人所有的渔业船舶，其船员的技术培训由当地人民政府渔业行政主管部门负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渔业船舶之间发生交通事故，应当向就近的渔政渔港监督管理机关报告，并在进入第一个港口48小时之内向渔政渔港监督管理机关递交事故报告书和有关材料，接受调查处理。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渔政渔港监督管理机关对渔港水域内的交通事故和其他沿海水域渔业船舶之间的交通事故，应当及时查明原因，判明责任，作出处理决定。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渔港内的船舶、设施有下列情形之一的，渔政渔港监督管理机关有权禁止其离港，或者令其停航、改航、停止作业：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(一)违反中华人民共和国法律、法规或者规章的；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(二)处于不适航或者不适拖状态的；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(三)发生交通事故，手续未清的；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(四)未向渔政渔港监督管理机关或者有关部门交付应当承担的费用，也未提供担保的；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(五)渔政渔港监督管理机关认为有其他妨害或者可能妨害海上交通安全的。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渔港内的船舶、设施发生事故，对海上交通安全造成或者可能造成危害，渔政渔港监督管理机关有权对其采取强制性处置措施。</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船舶进出渔港依照规定应当向渔政渔港监督管理机关报告而未报告的，或者在渔港内不服从渔政渔港监督管理机关对水域交通安全秩序管理的，由渔政渔港监督管理机关责令改正，可以并处警告、罚款；情节严重的，扣留或者吊销船长职务证书(扣留职务证书时间最长不超过6个月，下同)。</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违反本条例规定，有下列行为之一的，由渔政渔港监督管理机关责令停止违法行为，可以并处警告、罚款；造成损失的，应当承担赔偿责任；对直接责任人员由其所在单位或者上级主管机关给予行政处分：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(一)未经渔政渔港监督管理机关批准或者未按照批准文件的规定，在渔港内装卸易燃、易爆、有毒等危险货物的；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(二)未经渔政渔港监督管理机关批准，在渔港内新建、改建、扩建各种设施或者进行其他水上、水下施工作业的；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(三)在渔港内的航道、港池、锚地和停泊区从事有碍海上交通安全的捕捞、养殖等生产活动的。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违反本条例规定，未持有船舶证书或者未配齐船员的，由渔政渔港监督管理机关责令改正，可以并处罚款。</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违反本条例规定，不执行渔政渔港监督管理机关作出的离港、停航、改航、停止作业的决定，或者在执行中违反上述决定的，由渔政渔港监督管理机关责令改正，可以并处警告、罚款；情节严重的，扣留或者吊销船长职务证书。</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当事人对渔政渔港监督管理机关作出的行政处罚决定不服的，可以在接到处罚通知之日起15日内向人民法院起诉；期满不起诉又不履行的，由渔政渔港监督管理机关申请人民法院强制执行。</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因渔港水域内发生的交通事故或者其他沿海水域发生的渔业船舶之间的交通事故引起的民事纠纷，可以由渔政渔港监督管理机关调解处理；调解不成或者不愿意调解的，当事人可以向人民法院起诉。</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拒绝、阻碍渔政渔港监督管理工作人员依法执行公务，应当给予治安管理处罚的，由公安机关依照《中华人民共和国治安管理处罚法》有关规定处罚；构成犯罪的，由司法机关依法追究刑事责任。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渔政渔港监督管理工作人员，在渔港和渔港水域交通安全监督管理工作中，玩忽职守，滥用职权、徇私舞弊的，由其所在单位或者上级主管机关给予行政处分；构成犯罪的，由司法机关依法追究刑事责任。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本条例实施细则由农业农村部制定。</w:t>
      </w:r>
    </w:p>
    <w:p>
      <w:pPr>
        <w:pStyle w:val="13"/>
        <w:keepNext w:val="0"/>
        <w:keepLines w:val="0"/>
        <w:widowControl w:val="0"/>
        <w:suppressLineNumbers w:val="0"/>
        <w:spacing w:before="0" w:beforeAutospacing="0" w:after="0" w:afterAutospacing="0"/>
        <w:ind w:left="0" w:right="0" w:firstLine="640" w:firstLineChars="200"/>
        <w:jc w:val="both"/>
        <w:rPr>
          <w:rFonts w:hint="eastAsia"/>
          <w:lang w:eastAsia="zh-CN"/>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本条例自1989年8月1日起施行。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1E86479"/>
    <w:rsid w:val="026D2287"/>
    <w:rsid w:val="02B836F8"/>
    <w:rsid w:val="03356D16"/>
    <w:rsid w:val="03985ADA"/>
    <w:rsid w:val="058213F7"/>
    <w:rsid w:val="0788080A"/>
    <w:rsid w:val="07E71367"/>
    <w:rsid w:val="08FF0C17"/>
    <w:rsid w:val="0963250F"/>
    <w:rsid w:val="097F7BAD"/>
    <w:rsid w:val="09B60066"/>
    <w:rsid w:val="0AEB2A0D"/>
    <w:rsid w:val="0B3D0578"/>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5F044FF"/>
    <w:rsid w:val="26CA1A3A"/>
    <w:rsid w:val="27680A3B"/>
    <w:rsid w:val="2834230D"/>
    <w:rsid w:val="28F8723D"/>
    <w:rsid w:val="2B01664D"/>
    <w:rsid w:val="2D644059"/>
    <w:rsid w:val="2DBE0D65"/>
    <w:rsid w:val="2E1B43B4"/>
    <w:rsid w:val="2ED32E01"/>
    <w:rsid w:val="2FF20DF5"/>
    <w:rsid w:val="318138A8"/>
    <w:rsid w:val="320E2B0A"/>
    <w:rsid w:val="32252208"/>
    <w:rsid w:val="33CF5811"/>
    <w:rsid w:val="386D21AD"/>
    <w:rsid w:val="3A7915E5"/>
    <w:rsid w:val="3B1265AF"/>
    <w:rsid w:val="3BA0652C"/>
    <w:rsid w:val="3CA23060"/>
    <w:rsid w:val="3CDF39C7"/>
    <w:rsid w:val="3D762392"/>
    <w:rsid w:val="3DFC6899"/>
    <w:rsid w:val="3E3675FB"/>
    <w:rsid w:val="3F5A425A"/>
    <w:rsid w:val="3F800236"/>
    <w:rsid w:val="3F8C783C"/>
    <w:rsid w:val="40DC5AC3"/>
    <w:rsid w:val="40F66CF8"/>
    <w:rsid w:val="40FE47B4"/>
    <w:rsid w:val="41B857FD"/>
    <w:rsid w:val="4361706F"/>
    <w:rsid w:val="43CA1521"/>
    <w:rsid w:val="444B0E8A"/>
    <w:rsid w:val="47A250A3"/>
    <w:rsid w:val="494B3B16"/>
    <w:rsid w:val="4AC82716"/>
    <w:rsid w:val="4DC87E21"/>
    <w:rsid w:val="4EDF3D2B"/>
    <w:rsid w:val="4EED79F5"/>
    <w:rsid w:val="5080370D"/>
    <w:rsid w:val="523F45D1"/>
    <w:rsid w:val="52695AB4"/>
    <w:rsid w:val="529D4C7B"/>
    <w:rsid w:val="53BF5C69"/>
    <w:rsid w:val="53DA0A43"/>
    <w:rsid w:val="55B865F8"/>
    <w:rsid w:val="575D4E2E"/>
    <w:rsid w:val="58035B31"/>
    <w:rsid w:val="58F6185E"/>
    <w:rsid w:val="591257DC"/>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97D32FB"/>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ABD49CD"/>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2019-12-25T13:50:50Z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