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益阳市中心城区资江两岸风貌管控若干规定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（2023年8月30日益阳市第七届人民代表大会常务委员会第十三次会议通过　2023年9月22日湖南省第十四届人民代表大会常务委员会第五次会议批准）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本规定适用于本市中心城区资江两岸风貌的规划、建设及相关管理等活动。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规定所称中心城区资江两岸，是指资江北岸、创意路、长春东路、幸福渠路、五一路、向仓路、资阳路、迎春路相连与中心城区边界线围合形成的区域和资江南岸、天成路、东港路、烟波路、沿河南路、团洲路、十洲路、龙洲北路、关公路、滨江路、裴公路、会龙路（东）、云树路、滨溪路、志溪路、会龙路（西）相连与中心城区边界线围合形成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人民政府应当加强对中心城区资江两岸的风貌管控，建立健全协调机制，解决有关重大问题，定期向市人民代表大会常务委员会报告中心城区资江两岸风貌管控工作情况。区人民政府应当履行中心城区资江两岸风貌管控属地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自然资源和规划主管部门负责中心城区资江两岸风貌的规划管理工作，应当加强对中心城区资江两岸空间立体性、平面协调性、风貌整体性、文脉延续性等方面的规划和管控，突出公共利益需求，对用地性质、开发强度以及平面布局、天际轮廓线、视线通廊、建筑高度、建筑体量、建筑风格、建筑色彩等作出控制要求，组织编制中心城区资江两岸城市设计，并纳入控制性详细规划和用地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发展和改革、财政、生态环境、住房和城乡建设、交通运输、水利、文化旅游广电体育、城市管理和综合执法、林业等部门应当按照各自职责，做好中心城区资江两岸风貌管控有关工作。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组织编制中心城区资江两岸城市设计应当通过论证会、听证会、座谈会等方式，广泛征求专家和公众意见，并将草案向社会公示。市人民政府在批准中心城区资江两岸城市设计前，应当先提请市人民代表大会常务委员会审议，对审议意见进行研究处理，并报告处理情况。中心城区资江两岸城市设计经市人民政府批准后，应当报市人民代表大会常务委员会备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中心城区资江两岸城市设计未经法定程序不得修改。确需修改的，应当对中心城区资江两岸城市设计实施情况进行评估和科学论证，并按照前款规定的程序报批。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中心城区资江两岸高层建筑项目应当加强规划设计和控制引导，形成高低错落、层次丰富的天际轮廓线。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相邻等高的高层建筑不得超过三栋。高层居住建筑面宽不得超过六十米。临江第一排、第二排高层建筑应当前低后高，且建筑高度之间的差值应当不少于百分之二十。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科举山、小边鱼山、大边鱼山、落帆山、占蓉山、邵义山临江一侧的建筑高度应当控制在山体高度的三分之二以下。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中心城区资江两岸应当进行视线通廊控制，视线通廊内应当以绿化景观功能为主，重点对益阳故城城墙遗址至会龙山幸福塔、石码头堤岸观景平台至会龙山幸福塔等视线通廊进行保护。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临江、临山一侧长度大于二百米的街坊至少设置一个宽度不少于二十米的视线通廊。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中心城区资江两岸建筑后退距离应当符合相关规范的要求，并根据风貌管控需要，结合建筑高度、用地性质等确定。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房屋建筑项目应当在用地范围内沿道路交叉口或者出入口设置对外开放的开敞空间，开敞空间应当与相邻人行道进行一体化设计。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中心城区资江两岸应当设置连接城市公共交通站点、公共建筑、城市公园、居住区、商业区的景观慢行系统。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重要地段和节点应当布局公共绿地和文化体育、商业服务、市政公用等公共服务设施，提升和丰富功能业态。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中心城区资江两岸新建、改建、扩建建（构）筑物的建筑风貌应当符合本市中心城区资江两岸城市设计的相关要求。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临江第一排住宅建筑的外立面应当进行公建化设计。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广告招牌等标志标识的体量、形式、色彩等应当与建筑景观和周边环境相协调。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中心城区资江两岸夜景照明应当贯彻厉行节约的原则，并符合风貌管控、文物保护和节能环保等方面的要求，按照市人民政府城市照明主管部门的规定使用和管理。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夜景照明应当突出明清古巷、裴公亭、文昌阁、三周文化广场、斗魁塔、三台塔等景观节点，打造具有地域特色的滨江夜景。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中心城区资江两岸历史文化遗存及其景观风貌应当加强保护。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白鹿寺、裴公亭、五马坊牧师楼、龙洲书院、斗魁塔、三台塔等文物古迹和石码头历史文化街区、东门口历史文化街区以及历史建筑的风貌应当保持传统风格和历史原貌，进行整体保护和利用。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本市行政区域内资江干流涉及的县（区）人民政府，可以参照本规定制定相关管控措施，加强对资江两岸风貌的管理。</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本规定自2023年12月1日起施行。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AF81A31"/>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2023-11-15T10:26:38Z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