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河南省水利工程管理条例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（2023年9月28日河南省第十四届人民代表大会常务委员会第五次会议通过）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管理与运行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保护与利用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水利工程的建设和管理，保障水利工程安全和运行，发挥水利工程功能和效益，促进经济社会高质量发展，根据《中华人民共和国水法》《中华人民共和国防洪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本省行政区域内水利工程的规划、建设、管理、运行、保护和利用，适用本条例。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本条例所称水利工程，是指防洪、除涝、输（供）水、灌溉、水力发电等工程及其附属设施。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流域管理机构管理的水利工程和城市供排水、污水处理、水土保持、农田水利等工程的建设、管理，依照有关法律、法规规定执行。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水利工程建设和管理应当坚持节水优先、空间均衡、系统治理、两手发力的治水思路，遵循统筹规划、科学建设，依法管理、规范运行，保障安全、综合利用的原则。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县级以上人民政府应当加强对水利工程规划、建设、管理和保护工作的领导，将水利工程建设纳入国民经济和社会发展规划、乡村振兴和农业农村现代化规划，完善政府投入保障机制，加大对水利工程的投入。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建立多元化、多渠道的水利工程投融资机制，采取措施鼓励和支持社会资本投资水利工程建设、运营和管理，引导金融机构支持水利工程建设，鼓励和支持农村集体经济组织、农民合作组织、新型农业经营主体和其他社会力量参与水利工程建设、经营和运行维护，并依法保护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县级以上人民政府水行政主管部门依法负责本行政区域内水利工程的监督管理。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县级以上人民政府发展改革、财政、自然资源、住房城乡建设、生态环境、交通运输、农业农村、林业等部门按照各自职责负责水利工程管理和保护的相关工作。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乡镇人民政府、街道办事处按照职责做好辖区内水利工程管理和保护的相关工作。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水利工程受法律保护。单位和个人对侵占、破坏水利工程等违法行为有权投诉、举报。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在水利工程建设、管理和保护工作中做出显著成绩的单位和个人，由县级以上人民政府和省级有关部门按照国家和省有关规定给予表彰和奖励。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水利工程建设规划应当符合国土空间规划、区域和流域相关规划，按照确有需要、生态安全、可以持续的水利工程论证原则，综合考虑防洪、排涝、输（供）水、灌溉、航运、发电、生态等功能，实现水资源高效利用、水生态系统修复、水环境综合治理、水灾害科学防治、水文化传承保护，充分发挥水利工程综合效益，提升水安全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政府投资建设的水利工程，应当编制项目建议书、可行性研究报告、初步设计，并按照政府投资管理权限和规定的程序，报投资主管部门或者其他有审批权的部门审批。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社会资本投资建设的水利工程按照核准或者备案管理规定执行。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国家另有简化程序规定的，从其规定。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政府投资的水利工程建设项目应当按照投资主管部门或者其他有关部门批准的建设地点、建设规模和建设内容实施；拟变更建设地点或者拟对建设规模、建设内容等作较大变更的，应当按照规定程序报原审批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政府投资建设的公益性水利工程，按照项目安排资金，以直接投资方式为主；对确需支持的经营性项目，主要采取资本金注入方式，也可以适当采取投资补助、贷款贴息等方式。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政府投资的水利工程建设项目，应当按照国家有关规定筹集和拨付所需资金，不得由施工单位垫资建设，不得随意缩减投资计划明确的投资规模。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水利工程设计、建设应当符合建筑安全规程和相关技术规范，遵循科学、必要、经济的原则，从技术、选材、施工、运行管理等方面进行科学论证和比选，优化设计方案，合理利用资金。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政府投资建设的水利工程建设项目应当实行项目法人责任制、招标投标制、建设监理制、合同管理制。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水利工程建设项目法人按照国家有关规定对建设项目的建设资金、建设工期、工程质量、生产安全等进行严格管理。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水利工程建设项目的勘察、设计、施工、监理以及与工程建设有关的重要设备、材料等的采购，依法必须招标的，应当进行招标。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水利工程建设项目法人应当采用书面形式与总承包人订立建设工程合同，也可以分别与勘察单位、设计单位、施工单位订立勘察、设计、施工承包合同，明确双方的权利和义务。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水利工程建设项目监理单位应当按照监理合同选派具备相应资格的监理人员进驻水利工程建设现场，依据监理规范实施监理。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承担水利工程建设项目勘察、设计、施工和监理等单位，应当具有相应的资质等级。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水利工程实行工程质量终身责任制。水利工程建设单位、勘察单位、设计单位、施工单位、监理单位法定代表人、项目负责人和直接责任人应当依照法律、法规的规定，在水利工程合理使用年限内对工程质量负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水利工程建成后，建设单位应当依法组织竣工验收，并在竣工验收合格后及时办理移交手续。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未经验收或者验收不合格的水利工程，不得交付使用。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水库（水电站）大坝、水闸应当按照国家有关规定办理注册登记。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水行政主管部门和其他有关部门应当按照法定职责，对水利工程建设项目的工程质量、建设进度以及政府投资的水利工程建设资金的使用情况，依法进行监督检查，发现问题及时提出整改意见，并督促建设单位整改到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管理与运行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水利工程应当按照谁投资、谁所有、谁受益、谁负担的原则依法明晰所有权、经营权和管理权。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政府投资建设的水利工程实行分类分级管理：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（一）受益或者影响范围跨设区的市的大型水利工程，由省人民政府确定的管理单位负责管理；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（二）受益或者影响范围跨</w:t>
      </w:r>
      <w:bookmarkStart w:id="0" w:name="_GoBack"/>
      <w:bookmarkEnd w:id="0"/>
      <w:r>
        <w:rPr>
          <w:rFonts w:ascii="仿宋_GB2312" w:hAnsi="仿宋_GB2312" w:eastAsia="仿宋_GB2312"/>
          <w:sz w:val="32"/>
        </w:rPr>
        <w:t>县级行政区域的大型水利工程，或者位置重要、关系重大的中型水利工程，由设区的市人民政府确定的管理单位负责管理；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（三）受益或者影响范围在同一县级行政区域的大中型水利工程，小（</w:t>
      </w:r>
      <w:r>
        <w:rPr>
          <w:rFonts w:hint="default" w:ascii="Times New Roman" w:hAnsi="Times New Roman" w:eastAsia="仿宋_GB2312" w:cs="Times New Roman"/>
          <w:sz w:val="32"/>
        </w:rPr>
        <w:t>Ⅰ</w:t>
      </w:r>
      <w:r>
        <w:rPr>
          <w:rFonts w:ascii="仿宋_GB2312" w:hAnsi="仿宋_GB2312" w:eastAsia="仿宋_GB2312"/>
          <w:sz w:val="32"/>
        </w:rPr>
        <w:t>）型水库和对防洪、灌溉有重大影响的小（</w:t>
      </w:r>
      <w:r>
        <w:rPr>
          <w:rFonts w:hint="default" w:ascii="Times New Roman" w:hAnsi="Times New Roman" w:eastAsia="仿宋_GB2312" w:cs="Times New Roman"/>
          <w:sz w:val="32"/>
        </w:rPr>
        <w:t>Ⅱ</w:t>
      </w:r>
      <w:r>
        <w:rPr>
          <w:rFonts w:ascii="仿宋_GB2312" w:hAnsi="仿宋_GB2312" w:eastAsia="仿宋_GB2312"/>
          <w:sz w:val="32"/>
        </w:rPr>
        <w:t>）型水库，由县级人民政府确定的管理单位负责管理；其他小型水利工程，由乡镇人民政府、街道办事处负责管理。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政府和社会资本共同投资建设的水利工程，按照约定确定管理主体。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社会资本投资建设、运营的水利工程，在协议有效期内由社会资本方负责管理。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县级以上人民政府应当合理安排财政资金，保障公益性水利工程或者公益性部分的正常运行。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经营性水利工程或者经营性部分由工程管理单位或者经营管理者按照规定或者约定落实水利工程运行维护经费，保障其正常运行。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政府投资建设的水利工程供水经营权、景区经营权、水面生态养殖和消落区种植经营权以及供水、水力发电等经营性资产，可以依法通过公共资源交易平台挂牌出让。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水利工程管理单位应当按照国家规定编制水利工程日常调度、运行和应急方案，并严格执行。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水库（水电站）大坝、水闸主管部门应当按照有关规定定期组织对水库（水电站）大坝、水闸进行安全鉴定。鉴定为病险工程的，主管部门应当及时组织有关单位采取相应措施，消除安全隐患。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堤防、渡槽、高填方渠道、重要淤地坝等涉及公共安全的水利工程及其附属设施的定期安全鉴定和病险工程除险加固参照前款规定执行。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水利工程确需调整原有功能的，水利工程管理单位应当进行技术论证，征求利害关系人意见，由有管辖权的水行政主管部门审查批准。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未经水行政主管部门批准，水利工程管理单位不得改变水利工程原设计主要功能。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水利工程部分功能或者基本功能丧失，确需降低等级使用或者报废的，水利工程管理单位应当依法委托有相应资质的单位鉴定，报经有管辖权的行政部门提出处理意见，并报工程所在地水行政主管部门备案。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应当报废并拆除的水利工程，由水利工程所有者或者管理单位组织拆除。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水利工程应当按照批准的供水用途和计划供水。确需改变用途和扩大供水量的，应当经有管辖权的县级以上人民政府水行政主管部门同意。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水利工程供水价格制定和调整以核定的准许收入为基础，综合考虑农业、非农业用水状况和用户承受能力等，制定农业用水价格、非农业用水价格，其中水力发电用水和生态用水价格由供需双方协商确定。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水行政主管部门应当加强对边界水利工程的管理。边界水利工程管理单位应当严格执行有关方面共同商定的边界水利协议。上一级水行政主管部门应当督促和检查协议的实施。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执行协议过程中发生争议时，由其共同上一级人民政府或者水行政主管部门处理。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县级以上人民政府水行政主管部门应当加强对水利工程安全运行的监督检查，对检查中发现的问题，应当责令水利工程管理单位限期整改。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水利工程管理单位应当建立健全水利工程安全运行责任制度，按照有关技术标准和规范，加强对水利工程设施、设备的观测、监测、检查、巡查和维护，完善技术档案，规范操作规程，确保水利工程安全运行。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省人民政府水行政主管部门应当建立健全水利工程标准化管理评价体系，全面推进水利工程标准化管理。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县级以上人民政府水行政主管部门应当加强智慧水利建设，运用基础地理数据和水利基础数据，结合现代科技手段，建立水利工程管理业务数据库和智慧管理平台，对重要的水利工程实行全面动态管理。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保护与利用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县级以上人民政府应当组织水行政、自然资源等有关部门划定水利工程管理范围和保护范围并向社会公告。划定标准和补偿办法由省人民政府确定。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经划定的水利工程管理范围和保护范围，水利工程管理单位应当设立界桩、公告牌、警示标志等标识标牌，并在重要部位采取相应的安全防护措施。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任何单位和个人不得擅自移动、喷涂、覆盖、损坏水利工程界桩、公告牌、警示标志等标识标牌。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在水利工程管理范围内，禁止下列行为：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（一）擅自蓄水、提水、引水、放水、截流、堵塞渠道；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（二）倾倒、堆放垃圾、渣土、砂石料、秸秆、杂物或者掩埋污染水体的物体。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在水利工程保护范围内，禁止从事影响工程运行和危害工程安全的爆破、打井、采石、取土等活动。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为了保障水利工程安全和正常运行，除本条例第二十九条、第三十条规定的禁止行为外，还禁止以下行为：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（一）侵占、破坏、损毁水利工程建筑物、构筑物及其附属设施；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（二）干扰和妨碍水利工程正常运行；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（三）在水库大坝集水区域内乱伐林木、毁林种植以及陡坡开荒等导致水库淤积的活动；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（四）在库区内围垦；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（五）在水库大坝、堤防和渠道两侧堤坡从事种植农作物、放牧等危害水利工程安全的活动；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（六）在水库、拦河闸坝等相关区域使用含有毒有害物质的饵料、饲料进行人工养殖；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（七）在水库消落区使用农药、化肥；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（八）违法填占水利工程水域；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在水利工程管理范围内建设桥梁、码头、船闸、公路、铁路、取排水等工程设施以及铺设管道、缆线的工程设施，应当符合国家规定的防洪标准，不得影响水利工程安全；其工程建设方案应当依法征得有关水行政主管部门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前款规定的建设项目在施工、维护、检修前，应当通报水利工程管理单位，施工、维护、检修过程中不得影响水利工程设施安全和正常运行。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建设需要确需临时占用、拆除水利工程的，建设单位应当按照不低于原有的技术标准予以修复或者在不降低原有水利功能的基础上予以改建；不能修复或者改建的，应当给予相应补偿；由此给第三方造成影响的，建设单位在施工单位撤离前应当依法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单位或者个人占用农业灌溉水源、灌排工程设施的，应当事先报请有管辖权的水行政主管部门批准，并兴建与效益损失相当的替代工程。不能修建替代工程的，占用者应当予以补偿，补偿标准按照有关规定执行。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除执行防汛抗旱、应急抢险、水利工程管理和维修养护以及其他紧急任务的车辆外，禁止其他机动车辆在非兼做公路的坝顶、堤顶上通行。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确需利用坝顶、堤顶兼做公路的，应当满足水利工程安全运行要求，公路建设单位应当进行科学论证，报有管辖权的主管部门批准。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具有历史文化价值的水利工程，县级以上人民政府应当按照其原有的功能、建筑特点和历史风貌进行保护和管理，禁止非法侵占、损毁。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县级以上人民政府应当采取措施支持利用水利工程生态优势进行景区化改造，将水利工程改造与城市绿化、水系贯通等工程相结合，构建区域生态水系。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或者个人在保障水利工程安全的前提下，依法利用水利工程水土资源开展水力发电、观光旅游、生态养殖、生态种植等经营活动，开展经营活动应当征得水利工程管理单位同意并签订使用协议。鼓励按照出资比例或者约定将部分经营收益用于水利工程维修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利用水利工程水土资源开展经营活动应当服从水利工程日常调度、运行和应急管理，不得影响工程运行安全，不得污染水体、破坏生态环境。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县级以上人民政府水行政、生态环境、自然资源等部门应当加强对利用水利工程水土资源开展经营活动的监管。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县级以上人民政府水行政主管部门和其他有关部门及其工作人员不依法履行水利工程管理和监督职责的，对直接负责的主管人员和其他直接责任人员依法给予处分；构成犯罪的，依法追究刑事责任。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规定，水利工程管理单位和经营管理者有下列情形之一的，由县级以上人民政府水行政主管部门责令限期改正；造成严重后果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（一）水利工程未经验收或者验收不合格投入使用的；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（二）不按照国家规定编制执行水利工程日常调度、运行和应急方案的；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（三）未经批准擅自改变水利工程原设计主要功能的；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（四）擅自改变水利工程供水用途、扩大供水量的；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（五）被责令限期整改而未整改的；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（六）其他不依法履行职责的情形。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违反本条例规定，有下列行为之一的，由县级以上人民政府水行政主管部门按照下列规定处罚：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（一）在水利工程保护范围内，从事影响工程运行和危害工程安全的爆破、打井、采石、取土等活动的，责令停止违法行为，处一万元以上五万元以下罚款；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（二）侵占、破坏、损毁水利工程建筑物、构筑物及其附属设施的，责令恢复原状或者采取补救措施，处一万元以上五万元以下罚款；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（三）在水库大坝、堤防和渠道两侧堤坡从事种植农作物、放牧等危害水利工程安全活动的，责令改正，拒不改正的，处二百元以上一千元以下罚款；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（四）擅自移动、喷涂、覆盖、损坏水利工程的界桩、公告牌和警示标志的，处五百元以上二千元以下罚款。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未经有管理权的水行政主管部门同意，或者未按照有管理权的水行政主管部门同意的工程建设方案，擅自在水利工程管理范围内从事影响水利工程运行安全的建设活动的，由县级以上人民政府水行政主管部门责令停止违法行为，限期采取补救措施，影响水利工程运行安全但尚可采取补救措施减轻或者消除安全影响的，责令限期改正，处一万元以上五万元以下罚款；严重影响水利工程运行安全的，责令限期改正，处一万元以上十万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济源产城融合示范区、郑州航空港经济综合实验区参照设区的市执行。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本条例自2024年1月1日起施行。1997年7月25日河南省第八届人民代表大会常务委员会第二十七次会议通过的《河南省水利工程管理条</w:t>
      </w:r>
      <w:r>
        <w:rPr>
          <w:rFonts w:ascii="仿宋_GB2312" w:hAnsi="仿宋_GB2312" w:eastAsia="仿宋_GB2312"/>
          <w:sz w:val="32"/>
        </w:rPr>
        <w:t>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7740D"/>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7D39C3"/>
    <w:rsid w:val="0D9804AC"/>
    <w:rsid w:val="11E4354D"/>
    <w:rsid w:val="16DC7373"/>
    <w:rsid w:val="30711881"/>
    <w:rsid w:val="32BF6E1D"/>
    <w:rsid w:val="344634A2"/>
    <w:rsid w:val="34E16FD5"/>
    <w:rsid w:val="3DE63740"/>
    <w:rsid w:val="481351D2"/>
    <w:rsid w:val="53543565"/>
    <w:rsid w:val="558A062C"/>
    <w:rsid w:val="5B24736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2024-01-30T23:28:56Z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