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辽宁省农作物种子管理条例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（2002年11月29日辽宁省第九届人民代表大会常务委员会第三十四次会议通过　根据2004年6月30日辽宁省第十届人民代表大会常务委员会第十二次会议《关于修改〈辽宁省农作物种子管理条例〉的决定》第一次修正　根据2011年11月24日辽宁省第十一届人民代表大会常务委员会第二十六次会议《关于修改部分地方性法规的决定》第二次修正　根据2015年9月25日辽宁省第十二届人民代表大会常务委员会第二十一次会议《关于修改部分地方性法规的决定》第三次修正　根据2018年3月27日辽宁省第十三届人民代表大会常务委员会第二次会议《关于修改&lt;辽宁省实施《中华人民共和国森林法》办法&gt;等部分地方性法规的决定》第四次修正　2023年9月27日辽宁省第十四届人民代表大会常务委员会第五次会议修订）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种质资源保护与利用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品种审定、登记、认定与推广</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生产经营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扶持措施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和合理利用农作物种质资源，规范品种选育、种子生产经营和管理行为，加强种业科学技术研究，鼓励育种创新，保护植物新品种权，维护种子生产经营者、使用者的合法权益，提高农作物种子（以下简称种子）质量，发展现代种业，推动种业振兴，保障粮食安全，根据《中华人民共和国种子法》等法律、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本省行政区域内从事农作物种质资源保护利用、品种选育、种子生产经营和管理等活动，适用本条例。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省、市、县（含县级市、区，下同）人民政府应当加强对种子工作的组织领导，制定和实施促进农作物种业发展的政策措施，建立种子工作保障机制，将所需经费列入同级财政预算。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省、市、县人民政府农业农村主管部门（以下简称农业农村主管部门）主管本行政区域内种子工作。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发展改革、财政、科技、公安、教育、市场监管、知识产权等部门按照各自职责，做好相关工作。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省人民政府应当根据乡村振兴战略和现代农业发展的需要，制定农作物种业发展规划并组织实施。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省人民政府按照国家规定建立种子储备制度，储备的种子主要用于发生灾害时的生产需要及余缺调剂，保障农业生产安全。对储备的种子应当定期检验和更新。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省、市、县人民政府有关部门应当加强植物新品种保护工作，鼓励和扶持种业科技创新、植物新品种培育及成果转化，健全知识产权保护机制。</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种质资源保护与利用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任何单位和个人不得侵占和破坏农作物种质资源。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禁止采集或者采伐国家重点保护的农作物天然种质资源。因科研等特殊情况需要采集或者采伐的，应当依法经国家或者省农业农村主管部门批准。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省农业农村主管部门应当按照国家有关规定开展农作物种质资源的普查、收集、整理、鉴定、登记、保存、交流和利用，建立健全农作物种质资源档案，确定并定期公布本省可供利用的农作物种质资源目录。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省农业农村主管部门根据需要建立农作物种质资源库（圃）、种质资源保护区和保护地，确定农作物种质资源保护单位，重点保护下列种质资源：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（一）列入国家和省重点保护名录的农作物天然种质资源；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（二）珍稀、濒危和本省特有的农作物种质资源；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（三）具有特色优势或者特殊价值的农作物种质资源；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（四）其他需要重点保护的农作物种质资源。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省农业农村主管部门应当在农作物种质资源库（圃）、种质资源保护区和保护地设立保护标志，任何单位和个人不得破坏或者擅自移动保护标志。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农作物种质资源保护单位应当开展下列种质资源保护与利用工作：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（一）建立健全农作物种质资源收集、登记、保存、鉴定、评价、更新、交流和共享利用的管理制度，并组织实施</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eastAsia="仿宋_GB2312"/>
          <w:sz w:val="32"/>
        </w:rPr>
        <w:t>（二）加强农作物种质资源保护基础理论、关键技术研究，开展种质资源鉴定、评价，发掘优异基因</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（三）加强农作物种质资源相关专业技术培训，强化技术支撑，稳定壮大专业人才队伍。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农作物种质资源保护单位可以利用农作物种质资源库（圃）、种质资源保护区和保护地开展科普教育活动，因地制宜设置科普教育服务设施。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农业农村主管部门应当加强农作物种质资源库（圃）、种质资源保护区和保护地管理；因环境变化、自然灾害等情况致使农作物种质资源受到威胁的，应当及时组织抢救性收集、保护。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农作物种质资源库（圃）、种质资源保护区和保护地的种质资源属公共资源，依法开放利用。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支持科研育种机构、种子企业对收集保护的农作物种质资源开展种质创新、新品种选育和产业化开发等方面的研究和利用。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任何单位和个人向境外提供农作物种质资源，或者与境外机构、个人开展合作研究利用农作物种质资源，以及从境外引进农作物种质资源的，依照国家有关规定办理。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品种审定、登记、认定与推广</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主要农作物品种在推广前，应当通过国家级或者省级审定。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省农业农村主管部门设立由专业人员组成的省农作物品种审定委员会，承担本省主要农作物品种的省级审定工作，颁发审定证书，并由省农业农村主管部门发布公告。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主要农作物品种的审定应当进行品种试验。承担农作物品种试验的单位应当具备国家规定的条件和能力。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省农作物品种审定委员会应当在申请者提供的省级审定品种的试验种子中留取标准样品，交省农作物种质资源库保存。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通过本省审定的主要农作物品种有下列情形之一的，经省农作物品种审定委员会审核确认后，撤销审定，由省农业农村主管部门发布公告，停止推广、销售：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（一）在使用过程中出现不可克服的严重缺陷的；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（二）种性严重退化或者失去生产利用价值的；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（三）未按照要求提供品种标准样品或者标准样品不真实的；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（四）以欺骗、伪造试验数据等不正当方式通过审定的；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（五）其他依法应当撤销审定的情形。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其他省、自治区、直辖市通过审定的主要农作物品种引种到本省同一适宜生态区的，引种者应当将引种的品种和区域报省农业农村主管部门备案，由省农业农村主管部门发布公告。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引种者对引种品种的真实性、适应性和安全性负责。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引种品种被原审定省份撤销审定的，应当停止在本省推广、销售，由省农业农村主管部门撤销引进品种备案，并发布公告。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列入国家非主要农作物登记目录的品种，在推广前应当按照国家有关规定进行登记。未经登记的，不得发布广告、推广，不得以登记品种的名义销售。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未列入国家非主要农作物登记目录的品种，符合特异性、一致性、稳定性要求的，单位和个人可以向省农业农村主管部门申请认定；通过认定的品种可以以认定品种的名义推广和销售。具体认定办法由省农业农村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农业农村主管部门应当制定农作物品种推广计划，建立新品种展示示范基地，组织科研机构、种子企业等进行新品种展示，加快新品种的推广应用。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生产经营</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从事种子生产经营的，应当依法取得种子生产经营许可证。有下列情形之一的，不需要办理种子生产经营许可证：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（一）只从事非主要农作物种子生产的；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（二）农民个人自繁自用的常规种子有剩余，在当地集贸市场上出售、串换的；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（三）种子生产经营者在种子生产经营许可证载明的有效区域设立分支机构的；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（四）专门经营不再分装的包装种子的；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（五）受具有种子生产经营许可证的种子生产经营者书面委托生产、代销其种子的。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有前款第（三）（四）（五）项规定情形之一的，种子生产经营者应当向所在地县农业农村主管部门备案；所在地未设立县农业农村主管部门的，种子生产经营者应当向上一级农业农村主管部门备案。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种子生产经营者应当建立和保存包括种子品种、来源、产地、质量、数量、销售去向、销售日期和有关责任人员等内容的生产经营档案，并向购种者出具发票等购种凭证，保证可追溯。生产经营档案保存期限依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通过互联网等信息网络销售种子的，应当依照《中华人民共和国电子商务法》的规定在其首页显著位置持续公示营业执照信息、与其经营业务有关的行政许可信息、依法不需要办理市场主体登记情形等信息，或者上述信息的链接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电子商务平台经营者应当对平台内种子经营者的身份、联系方式、种子生产经营许可证或者备案文件等信息进行核验、登记，建立档案，并定期核验更新。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通过种业大会等展销会销售种子的，展销会承办单位应当对参展方的种子生产经营许可证或者备案信息等进行核验，依法维护知识产权权利人的合法权益。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种子广告的内容应当符合有关法律、法规的规定，主要性状描述等应当与审定、引种备案、登记、认定的信息一致，不得作虚假或者误导性宣传。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种子使用者因种子质量问题或者因种子标签和使用说明标注的内容不真实遭受损失的，可以向出售种子的经营者要求赔偿，也可以向种子生产者或者其他经营者要求赔偿。赔偿额包括购种价款、可得利益损失和其他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属于种子生产者或者其他经营者责任的，出售种子的经营者赔偿后，有权向种子生产者或者其他经营者追偿；属于出售种子的经营者责任的，种子生产者或者其他经营者赔偿后，有权向出售种子的经营者追偿。</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监督管理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农业农村主管部门应当加强对种子质量的监督检查，打击生产经营假、劣种子等违法行为，保障农业用种安全。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业农村主管部门应当会同公安、市场监管、知识产权等部门建立联合检查、信息共享、案件移送等协同执法工作机制，开展种子执法监管，加强育种领域等知识产权保护，维护种子市场秩序，保障品种权人、种子生产经营者和使用者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农业农村主管部门应当建立健全投诉和举报制度，公开受理投诉和举报的方式，对受理的投诉和举报及时调查处理。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农业农村主管部门开展种子质量抽检，不得向种子生产经营者收取费用，不得影响其正常生产经营活动。种子生产经营者应当配合，不得拒绝、阻挠。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农业农村主管部门可以委托种子质量检验机构对种子质量进行检验。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发生种子质量纠纷时，当事人可以向纠纷发生地的县农业农村主管部门提出申请；纠纷发生地未设立县农业农村主管部门的，当事人可以向上一级农业农村主管部门提出申请。接受申请的农业农村主管部门组织专家鉴定组进行种子质量纠纷田间现场鉴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专家鉴定组应当由三人以上单数构成。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申请鉴定的，应当支付鉴定费用，结案后由责任方承担。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农业农村主管部门应当加强种子领域信用制度建设，建立种子生产经营者信用记录，并依法纳入信用信息共享平台，完善守信激励和失信惩戒机制。</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扶持措施</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省、市、县人民政府应当支持种质资源保护、种业基础研究、重大科技育种攻关，扶持和服务地方特色优势农作物种业的发展，鼓励和支持花生、谷子、高粱等地方特色优势农作物良种选育、改良</w:t>
      </w:r>
      <w:bookmarkStart w:id="0" w:name="_GoBack"/>
      <w:bookmarkEnd w:id="0"/>
      <w:r>
        <w:rPr>
          <w:rFonts w:ascii="仿宋_GB2312" w:hAnsi="仿宋_GB2312" w:eastAsia="仿宋_GB2312"/>
          <w:sz w:val="32"/>
        </w:rPr>
        <w:t>、引进、试验、示范、推广。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强化种子企业创新主体地位，鼓励种子企业加大研发投入，推动种子企业培育、繁殖、推广一体化发展。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支持科研机构和高等院校重点开展育种的基础性、前沿性和应用技术研究以及生物育种技术研究，支持常规作物育种、无性繁殖材料选育等公益性研究，提高育种基础创新能力。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种子企业充分利用公益性研究成果，培育具有自主知识产权的优良品种。鼓励和支持种子企业与科研机构、高等院校组建创新联盟，开展主要粮食作物、重要经济作物、地方特色作物育种攻关，建立以市场为导向、利益共享、风险共担的产学研相结合的种业技术创新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鼓励科研机构、高等院校和种子企业引进高层次种业人才，对符合本省有关规定的高层次种业人才给予相应政策支持。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省、市、县人民政府应当根据需要，建设相对集中、长期稳定的种子科研和生产基地，优先将种子生产基地纳入高标准农田建设范围，并在土地流转、设施建设等方面给予支持。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省、市人民政府应当落实国家南繁规划，支持南繁基地的建设，加大科研支持力度，完善科研育种、配套生产生活设施建设。</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农业农村主管部门及其工作人员有下列玩忽职守、徇私舞弊、滥用职权行为之一的，依法给予处分：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（一）未按照规定核发种子生产经营许可证的；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（二）未按照规定办理备案或者受理审定、登记、认定的；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（三）非法干预种子生产者、经营者、使用者自主权的；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（四）参与或者从事种子生产、经营活动的；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（五）擅自公开或者泄露被检查者商业秘密的；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（六）发现违法行为或者接到对违法行为的举报不予查处的；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（七）其他玩忽职守、徇私舞弊、滥用职权的行为。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违反本条例规定，破坏或者擅自移动保护标志的，由农业农村主管部门责令停止违法行为，可以并处五百元以上五千元以下罚款；造成损失的，依法承担赔偿责任。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违反本条例规定，对已撤销引种备案的农作物品种进行推广、销售的，由农业农村主管部门责令停止违法行为，没收违法所得和种子，并处二万元以上二十万元以下罚款。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规定，通过互联网等信息网络销售种子，未依法取得种子生产经营许可证或者有其他违反种子生产经营许可规定行为、未按照规定备案的，由农业农村主管部门依照《中华人民共和国种子法》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规定，通过互联网等信息网络销售种子，未在其首页显著位置持续公示营业执照信息、与其经营业务有关的行政许可信息、依法不需要办理市场主体登记情形等信息，或者上述信息的链接标识的，由市场监管部门依照《中华人民共和国电子商务法》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违反本条例规定的行为，法律、法规已有处罚规定的，从其规定。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本条例下列用语的含义：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（一）农作物种子是指农作物的种植材料或者繁殖材料，包括籽粒、果实、根、茎、苗、芽、叶、花等。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农作物种质资源是指选育农作物新品种的基础材料，包括各种农作物的栽培种、野生种和濒危稀有种的繁殖材料以及利用上述繁殖材料人工创造的各种农作物的遗传材料，其形态包括果实、籽粒、苗、根、茎、叶、芽、花、组织、细胞和</w:t>
      </w:r>
      <w:r>
        <w:rPr>
          <w:rFonts w:hint="default" w:ascii="Times New Roman" w:hAnsi="Times New Roman" w:eastAsia="仿宋_GB2312" w:cs="Times New Roman"/>
          <w:sz w:val="32"/>
        </w:rPr>
        <w:t>DNA</w:t>
      </w:r>
      <w:r>
        <w:rPr>
          <w:rFonts w:eastAsia="仿宋_GB2312"/>
          <w:sz w:val="32"/>
        </w:rPr>
        <w:t>、</w:t>
      </w:r>
      <w:r>
        <w:rPr>
          <w:rFonts w:hint="default" w:ascii="Times New Roman" w:hAnsi="Times New Roman" w:eastAsia="仿宋_GB2312" w:cs="Times New Roman"/>
          <w:sz w:val="32"/>
        </w:rPr>
        <w:t>DNA</w:t>
      </w:r>
      <w:r>
        <w:rPr>
          <w:rFonts w:eastAsia="仿宋_GB2312"/>
          <w:sz w:val="32"/>
        </w:rPr>
        <w:t>片段及基因等有生命的物质材料。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（三）主要农作物是指稻、小麦、玉米、棉花、大豆。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（四）南繁是指利用南方冬季光温适宜的气候条件进行农作物加代、繁育、制种等活动。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转基因农作物品种的选育、试验、审定、生产经营和推广应当进行安全性评价，采取严格的安全控制措施，并遵守国家有关法律、法规的规定。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中药材种、食用菌菌种的农作物种质资源管理和选育、生产经营、管理等活动，参照本条例执行。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Times New Roman" w:hAnsi="Times New Roman" w:eastAsia="仿宋_GB2312"/>
          <w:sz w:val="32"/>
        </w:rPr>
        <w:t>　本条例自2023年12月1日起施行。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92B0E59"/>
    <w:rsid w:val="0D9804AC"/>
    <w:rsid w:val="11E4354D"/>
    <w:rsid w:val="13B27715"/>
    <w:rsid w:val="16DC7373"/>
    <w:rsid w:val="344634A2"/>
    <w:rsid w:val="3DE63740"/>
    <w:rsid w:val="481351D2"/>
    <w:rsid w:val="53543565"/>
    <w:rsid w:val="558A062C"/>
    <w:rsid w:val="60F63558"/>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5728</Words>
  <Characters>5762</Characters>
  <Lines>0</Lines>
  <Paragraphs>0</Paragraphs>
  <TotalTime>15</TotalTime>
  <ScaleCrop>false</ScaleCrop>
  <LinksUpToDate>false</LinksUpToDate>
  <CharactersWithSpaces>5858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2023-10-29T13:09:18Z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