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kinsoku/>
        <w:wordWrap/>
        <w:overflowPunct/>
        <w:topLinePunct w:val="0"/>
        <w:autoSpaceDE/>
        <w:autoSpaceDN/>
        <w:bidi w:val="0"/>
        <w:adjustRightInd/>
        <w:snapToGrid/>
        <w:spacing w:after="0"/>
        <w:ind w:left="0" w:leftChars="0"/>
        <w:textAlignment w:val="auto"/>
        <w:outlineLvl w:val="9"/>
        <w:rPr>
          <w:rFonts w:hint="eastAsia" w:ascii="宋体" w:hAnsi="宋体" w:eastAsia="宋体" w:cs="宋体"/>
          <w:lang w:val="en-US" w:eastAsia="zh-CN"/>
        </w:rPr>
      </w:pPr>
    </w:p>
    <w:p>
      <w:pPr>
        <w:pStyle w:val="3"/>
        <w:keepNext w:val="0"/>
        <w:keepLines w:val="0"/>
        <w:pageBreakBefore w:val="0"/>
        <w:kinsoku/>
        <w:wordWrap/>
        <w:overflowPunct/>
        <w:topLinePunct w:val="0"/>
        <w:autoSpaceDE/>
        <w:autoSpaceDN/>
        <w:bidi w:val="0"/>
        <w:adjustRightInd/>
        <w:snapToGrid/>
        <w:spacing w:after="0"/>
        <w:ind w:left="0" w:leftChars="0"/>
        <w:textAlignment w:val="auto"/>
        <w:outlineLvl w:val="9"/>
        <w:rPr>
          <w:rFonts w:hint="eastAsia" w:ascii="宋体" w:hAnsi="宋体" w:eastAsia="宋体" w:cs="宋体"/>
          <w:lang w:val="en-US" w:eastAsia="zh-CN"/>
        </w:rPr>
      </w:pPr>
    </w:p>
    <w:p>
      <w:pPr>
        <w:pStyle w:val="7"/>
        <w:keepNext w:val="0"/>
        <w:keepLines w:val="0"/>
        <w:pageBreakBefore w:val="0"/>
        <w:kinsoku/>
        <w:wordWrap/>
        <w:overflowPunct/>
        <w:topLinePunct w:val="0"/>
        <w:autoSpaceDE/>
        <w:autoSpaceDN/>
        <w:bidi w:val="0"/>
        <w:adjustRightInd/>
        <w:snapToGrid/>
        <w:spacing w:after="0" w:afterLines="0"/>
        <w:ind w:left="0" w:leftChars="0" w:firstLine="0" w:firstLineChars="0"/>
        <w:jc w:val="center"/>
        <w:textAlignment w:val="auto"/>
        <w:outlineLvl w:val="9"/>
        <w:rPr>
          <w:rFonts w:hint="eastAsia" w:ascii="宋体" w:hAnsi="宋体" w:eastAsia="宋体" w:cs="宋体"/>
          <w:b w:val="0"/>
          <w:bCs w:val="0"/>
          <w:kern w:val="2"/>
          <w:sz w:val="44"/>
          <w:szCs w:val="44"/>
          <w:lang w:val="en-US" w:eastAsia="zh-CN" w:bidi="ar"/>
        </w:rPr>
      </w:pPr>
      <w:r>
        <w:rPr>
          <w:rFonts w:hint="eastAsia" w:ascii="宋体" w:hAnsi="宋体" w:eastAsia="宋体" w:cs="宋体"/>
          <w:b w:val="0"/>
          <w:bCs w:val="0"/>
          <w:kern w:val="2"/>
          <w:sz w:val="44"/>
          <w:szCs w:val="44"/>
          <w:lang w:val="en-US" w:eastAsia="zh-CN" w:bidi="ar"/>
        </w:rPr>
        <w:t>漯河市电动自行车服务和管理条例</w:t>
      </w:r>
    </w:p>
    <w:p>
      <w:pPr>
        <w:pStyle w:val="7"/>
        <w:keepNext w:val="0"/>
        <w:keepLines w:val="0"/>
        <w:pageBreakBefore w:val="0"/>
        <w:kinsoku/>
        <w:wordWrap/>
        <w:overflowPunct/>
        <w:topLinePunct w:val="0"/>
        <w:autoSpaceDE/>
        <w:autoSpaceDN/>
        <w:bidi w:val="0"/>
        <w:adjustRightInd/>
        <w:snapToGrid/>
        <w:spacing w:after="0" w:afterLines="0"/>
        <w:ind w:left="0" w:leftChars="0" w:firstLine="0" w:firstLineChars="0"/>
        <w:jc w:val="both"/>
        <w:textAlignment w:val="auto"/>
        <w:outlineLvl w:val="9"/>
        <w:rPr>
          <w:rFonts w:hint="eastAsia" w:ascii="宋体" w:hAnsi="宋体" w:eastAsia="宋体" w:cs="宋体"/>
          <w:b w:val="0"/>
          <w:bCs w:val="0"/>
          <w:kern w:val="2"/>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ind w:left="632" w:leftChars="200" w:right="632" w:rightChars="200" w:firstLine="0"/>
        <w:jc w:val="both"/>
        <w:textAlignment w:val="auto"/>
        <w:outlineLvl w:val="9"/>
        <w:rPr>
          <w:rFonts w:hint="eastAsia" w:ascii="楷体_GB2312" w:hAnsi="楷体_GB2312" w:eastAsia="楷体_GB2312" w:cs="Times New Roman"/>
          <w:kern w:val="2"/>
          <w:sz w:val="32"/>
          <w:szCs w:val="32"/>
          <w:lang w:val="en-US" w:eastAsia="zh-CN" w:bidi="ar"/>
        </w:rPr>
      </w:pPr>
      <w:r>
        <w:rPr>
          <w:rFonts w:hint="eastAsia" w:ascii="楷体_GB2312" w:hAnsi="楷体_GB2312" w:eastAsia="楷体_GB2312" w:cs="Times New Roman"/>
          <w:kern w:val="2"/>
          <w:sz w:val="32"/>
          <w:szCs w:val="32"/>
          <w:lang w:val="en-US" w:eastAsia="zh-CN" w:bidi="ar"/>
        </w:rPr>
        <w:t>（</w:t>
      </w:r>
      <w:r>
        <w:rPr>
          <w:rFonts w:hint="eastAsia" w:ascii="Times New Roman" w:hAnsi="Times New Roman" w:eastAsia="楷体_GB2312" w:cs="Times New Roman"/>
          <w:kern w:val="2"/>
          <w:sz w:val="32"/>
          <w:szCs w:val="32"/>
          <w:lang w:val="en-US" w:eastAsia="zh-CN" w:bidi="ar"/>
        </w:rPr>
        <w:t>2023年6月28日漯河市第八届人民代表大会常务委员会第四次会议通过</w:t>
      </w:r>
      <w:r>
        <w:rPr>
          <w:rFonts w:hint="eastAsia" w:ascii="楷体_GB2312" w:hAnsi="Arial" w:eastAsia="楷体_GB2312" w:cs="Arial"/>
          <w:szCs w:val="32"/>
        </w:rPr>
        <w:t>　</w:t>
      </w:r>
      <w:r>
        <w:rPr>
          <w:rFonts w:hint="eastAsia" w:ascii="Times New Roman" w:hAnsi="Times New Roman" w:eastAsia="楷体_GB2312" w:cs="Times New Roman"/>
          <w:kern w:val="2"/>
          <w:sz w:val="32"/>
          <w:szCs w:val="32"/>
          <w:lang w:val="en-US" w:eastAsia="zh-CN" w:bidi="ar"/>
        </w:rPr>
        <w:t>2023年7月26日河南省第十四届人民代表大会常务委员会第四次会议批准</w:t>
      </w:r>
      <w:r>
        <w:rPr>
          <w:rFonts w:hint="eastAsia" w:ascii="楷体_GB2312" w:hAnsi="楷体_GB2312" w:eastAsia="楷体_GB2312" w:cs="Times New Roman"/>
          <w:kern w:val="2"/>
          <w:sz w:val="32"/>
          <w:szCs w:val="32"/>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kern w:val="2"/>
          <w:sz w:val="32"/>
          <w:szCs w:val="32"/>
          <w:lang w:val="en-US" w:eastAsia="zh-CN" w:bidi="ar"/>
        </w:rPr>
      </w:pP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kern w:val="2"/>
          <w:sz w:val="32"/>
          <w:szCs w:val="32"/>
          <w:lang w:val="en-US" w:eastAsia="zh-CN" w:bidi="ar"/>
        </w:rPr>
      </w:pPr>
      <w:r>
        <w:rPr>
          <w:rFonts w:hint="eastAsia" w:ascii="黑体" w:hAnsi="黑体" w:eastAsia="黑体" w:cs="黑体"/>
          <w:b w:val="0"/>
          <w:bCs w:val="0"/>
          <w:kern w:val="2"/>
          <w:sz w:val="32"/>
          <w:szCs w:val="32"/>
          <w:lang w:val="en-US" w:eastAsia="zh-CN" w:bidi="ar"/>
        </w:rPr>
        <w:t>第一条</w:t>
      </w:r>
      <w:r>
        <w:rPr>
          <w:rFonts w:ascii="仿宋_GB2312" w:hAnsi="仿宋_GB2312" w:eastAsia="仿宋_GB2312" w:cs="仿宋_GB2312"/>
          <w:sz w:val="32"/>
        </w:rPr>
        <w:t>　</w:t>
      </w:r>
      <w:r>
        <w:rPr>
          <w:rFonts w:hint="eastAsia" w:ascii="仿宋_GB2312" w:hAnsi="仿宋_GB2312" w:eastAsia="仿宋_GB2312" w:cs="仿宋_GB2312"/>
          <w:b w:val="0"/>
          <w:bCs w:val="0"/>
          <w:kern w:val="2"/>
          <w:sz w:val="32"/>
          <w:szCs w:val="32"/>
          <w:lang w:val="en-US" w:eastAsia="zh-CN" w:bidi="ar"/>
        </w:rPr>
        <w:t>为了加强电动自行车服务和管理，维护道路交通秩序，保障公众生命和财产安全，提升城市文明水平和治理能力，根据有关法律、法规，结合本市实际，制定本条例。</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kern w:val="2"/>
          <w:sz w:val="32"/>
          <w:szCs w:val="32"/>
          <w:lang w:val="en-US" w:eastAsia="zh-CN" w:bidi="ar"/>
        </w:rPr>
      </w:pPr>
      <w:r>
        <w:rPr>
          <w:rFonts w:hint="eastAsia" w:ascii="黑体" w:hAnsi="黑体" w:eastAsia="黑体" w:cs="黑体"/>
          <w:b w:val="0"/>
          <w:bCs w:val="0"/>
          <w:kern w:val="2"/>
          <w:sz w:val="32"/>
          <w:szCs w:val="32"/>
          <w:lang w:val="en-US" w:eastAsia="zh-CN" w:bidi="ar"/>
        </w:rPr>
        <w:t>第二条</w:t>
      </w:r>
      <w:r>
        <w:rPr>
          <w:rFonts w:ascii="仿宋_GB2312" w:hAnsi="仿宋_GB2312" w:eastAsia="仿宋_GB2312" w:cs="仿宋_GB2312"/>
          <w:sz w:val="32"/>
        </w:rPr>
        <w:t>　</w:t>
      </w:r>
      <w:r>
        <w:rPr>
          <w:rFonts w:hint="eastAsia" w:ascii="仿宋_GB2312" w:hAnsi="仿宋_GB2312" w:eastAsia="仿宋_GB2312" w:cs="仿宋_GB2312"/>
          <w:b w:val="0"/>
          <w:bCs w:val="0"/>
          <w:kern w:val="2"/>
          <w:sz w:val="32"/>
          <w:szCs w:val="32"/>
          <w:lang w:val="en-US" w:eastAsia="zh-CN" w:bidi="ar"/>
        </w:rPr>
        <w:t>本条例适用于本市行政区域内电动自行车的销售、登记、通行、停放、充电以及相关管理活动。</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kern w:val="2"/>
          <w:sz w:val="32"/>
          <w:szCs w:val="32"/>
          <w:lang w:val="en-US" w:eastAsia="zh-CN" w:bidi="ar"/>
        </w:rPr>
      </w:pPr>
      <w:r>
        <w:rPr>
          <w:rFonts w:hint="eastAsia" w:ascii="仿宋_GB2312" w:hAnsi="仿宋_GB2312" w:eastAsia="仿宋_GB2312" w:cs="仿宋_GB2312"/>
          <w:b w:val="0"/>
          <w:bCs w:val="0"/>
          <w:kern w:val="2"/>
          <w:sz w:val="32"/>
          <w:szCs w:val="32"/>
          <w:lang w:val="en-US" w:eastAsia="zh-CN" w:bidi="ar"/>
        </w:rPr>
        <w:t>本条例所称电动自行车，是指以车载蓄电池作为辅助能源，具有脚踏骑行能力，能实现电助动或者电驱动功能的两轮自行车。</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kern w:val="2"/>
          <w:sz w:val="32"/>
          <w:szCs w:val="32"/>
          <w:lang w:val="en-US" w:eastAsia="zh-CN" w:bidi="ar"/>
        </w:rPr>
      </w:pPr>
      <w:r>
        <w:rPr>
          <w:rFonts w:hint="eastAsia" w:ascii="仿宋_GB2312" w:hAnsi="仿宋_GB2312" w:eastAsia="仿宋_GB2312" w:cs="仿宋_GB2312"/>
          <w:b w:val="0"/>
          <w:bCs w:val="0"/>
          <w:kern w:val="2"/>
          <w:sz w:val="32"/>
          <w:szCs w:val="32"/>
          <w:lang w:val="en-US" w:eastAsia="zh-CN" w:bidi="ar"/>
        </w:rPr>
        <w:t>本条例未作规定的，适用有关法律、法规的规定。</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kern w:val="2"/>
          <w:sz w:val="32"/>
          <w:szCs w:val="32"/>
          <w:lang w:val="en-US" w:eastAsia="zh-CN" w:bidi="ar"/>
        </w:rPr>
      </w:pPr>
      <w:r>
        <w:rPr>
          <w:rFonts w:hint="eastAsia" w:ascii="黑体" w:hAnsi="黑体" w:eastAsia="黑体" w:cs="黑体"/>
          <w:b w:val="0"/>
          <w:bCs w:val="0"/>
          <w:kern w:val="2"/>
          <w:sz w:val="32"/>
          <w:szCs w:val="32"/>
          <w:lang w:val="en-US" w:eastAsia="zh-CN" w:bidi="ar"/>
        </w:rPr>
        <w:t>第三条</w:t>
      </w:r>
      <w:r>
        <w:rPr>
          <w:rFonts w:ascii="仿宋_GB2312" w:hAnsi="仿宋_GB2312" w:eastAsia="仿宋_GB2312" w:cs="仿宋_GB2312"/>
          <w:sz w:val="32"/>
        </w:rPr>
        <w:t>　</w:t>
      </w:r>
      <w:r>
        <w:rPr>
          <w:rFonts w:hint="eastAsia" w:ascii="仿宋_GB2312" w:hAnsi="仿宋_GB2312" w:eastAsia="仿宋_GB2312" w:cs="仿宋_GB2312"/>
          <w:b w:val="0"/>
          <w:bCs w:val="0"/>
          <w:kern w:val="2"/>
          <w:sz w:val="32"/>
          <w:szCs w:val="32"/>
          <w:lang w:val="en-US" w:eastAsia="zh-CN" w:bidi="ar"/>
        </w:rPr>
        <w:t>市、县、区人民政府应当加强对本行政区域内电动自行车管理工作的组织领导，建立健全工作协调机制，将所需经费纳入本级财政预算。</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kern w:val="2"/>
          <w:sz w:val="32"/>
          <w:szCs w:val="32"/>
          <w:lang w:val="en-US" w:eastAsia="zh-CN" w:bidi="ar"/>
        </w:rPr>
      </w:pPr>
      <w:r>
        <w:rPr>
          <w:rFonts w:hint="eastAsia" w:ascii="黑体" w:hAnsi="黑体" w:eastAsia="黑体" w:cs="黑体"/>
          <w:b w:val="0"/>
          <w:bCs w:val="0"/>
          <w:kern w:val="2"/>
          <w:sz w:val="32"/>
          <w:szCs w:val="32"/>
          <w:lang w:val="en-US" w:eastAsia="zh-CN" w:bidi="ar"/>
        </w:rPr>
        <w:t>第四条</w:t>
      </w:r>
      <w:r>
        <w:rPr>
          <w:rFonts w:ascii="仿宋_GB2312" w:hAnsi="仿宋_GB2312" w:eastAsia="仿宋_GB2312" w:cs="仿宋_GB2312"/>
          <w:sz w:val="32"/>
        </w:rPr>
        <w:t>　</w:t>
      </w:r>
      <w:r>
        <w:rPr>
          <w:rFonts w:hint="eastAsia" w:ascii="仿宋_GB2312" w:hAnsi="仿宋_GB2312" w:eastAsia="仿宋_GB2312" w:cs="仿宋_GB2312"/>
          <w:b w:val="0"/>
          <w:bCs w:val="0"/>
          <w:kern w:val="2"/>
          <w:sz w:val="32"/>
          <w:szCs w:val="32"/>
          <w:lang w:val="en-US" w:eastAsia="zh-CN" w:bidi="ar"/>
        </w:rPr>
        <w:t>公安机关交通管理部门负责电</w:t>
      </w:r>
      <w:bookmarkStart w:id="0" w:name="_GoBack"/>
      <w:bookmarkEnd w:id="0"/>
      <w:r>
        <w:rPr>
          <w:rFonts w:hint="eastAsia" w:ascii="仿宋_GB2312" w:hAnsi="仿宋_GB2312" w:eastAsia="仿宋_GB2312" w:cs="仿宋_GB2312"/>
          <w:b w:val="0"/>
          <w:bCs w:val="0"/>
          <w:kern w:val="2"/>
          <w:sz w:val="32"/>
          <w:szCs w:val="32"/>
          <w:lang w:val="en-US" w:eastAsia="zh-CN" w:bidi="ar"/>
        </w:rPr>
        <w:t>动自行车注册登记、安装号牌和道路通行安全管理。</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kern w:val="2"/>
          <w:sz w:val="32"/>
          <w:szCs w:val="32"/>
          <w:lang w:val="en-US" w:eastAsia="zh-CN" w:bidi="ar"/>
        </w:rPr>
      </w:pPr>
      <w:r>
        <w:rPr>
          <w:rFonts w:hint="eastAsia" w:ascii="仿宋_GB2312" w:hAnsi="仿宋_GB2312" w:eastAsia="仿宋_GB2312" w:cs="仿宋_GB2312"/>
          <w:b w:val="0"/>
          <w:bCs w:val="0"/>
          <w:kern w:val="2"/>
          <w:sz w:val="32"/>
          <w:szCs w:val="32"/>
          <w:lang w:val="en-US" w:eastAsia="zh-CN" w:bidi="ar"/>
        </w:rPr>
        <w:t>市场监管部门负责本市销售的电动自行车及其相关产品质量的监督管理。</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kern w:val="2"/>
          <w:sz w:val="32"/>
          <w:szCs w:val="32"/>
          <w:lang w:val="en-US" w:eastAsia="zh-CN" w:bidi="ar"/>
        </w:rPr>
      </w:pPr>
      <w:r>
        <w:rPr>
          <w:rFonts w:hint="eastAsia" w:ascii="仿宋_GB2312" w:hAnsi="仿宋_GB2312" w:eastAsia="仿宋_GB2312" w:cs="仿宋_GB2312"/>
          <w:b w:val="0"/>
          <w:bCs w:val="0"/>
          <w:kern w:val="2"/>
          <w:sz w:val="32"/>
          <w:szCs w:val="32"/>
          <w:lang w:val="en-US" w:eastAsia="zh-CN" w:bidi="ar"/>
        </w:rPr>
        <w:t>城市管理部门负责城市道路两侧以及城市广场等公共区域内电动自行车车位施划及停放的监督管理。</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kern w:val="2"/>
          <w:sz w:val="32"/>
          <w:szCs w:val="32"/>
          <w:lang w:val="en-US" w:eastAsia="zh-CN" w:bidi="ar"/>
        </w:rPr>
      </w:pPr>
      <w:r>
        <w:rPr>
          <w:rFonts w:hint="eastAsia" w:ascii="仿宋_GB2312" w:hAnsi="仿宋_GB2312" w:eastAsia="仿宋_GB2312" w:cs="仿宋_GB2312"/>
          <w:b w:val="0"/>
          <w:bCs w:val="0"/>
          <w:kern w:val="2"/>
          <w:sz w:val="32"/>
          <w:szCs w:val="32"/>
          <w:lang w:val="en-US" w:eastAsia="zh-CN" w:bidi="ar"/>
        </w:rPr>
        <w:t>发展改革、教育、财政、自然资源和规划、住房城乡建设、交通运输、消防救援等部门和机构按照各自职责做好电动自行车相关监督管理工作。</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kern w:val="2"/>
          <w:sz w:val="32"/>
          <w:szCs w:val="32"/>
          <w:lang w:val="en-US" w:eastAsia="zh-CN" w:bidi="ar"/>
        </w:rPr>
      </w:pPr>
      <w:r>
        <w:rPr>
          <w:rFonts w:hint="eastAsia" w:ascii="黑体" w:hAnsi="黑体" w:eastAsia="黑体" w:cs="黑体"/>
          <w:b w:val="0"/>
          <w:bCs w:val="0"/>
          <w:kern w:val="2"/>
          <w:sz w:val="32"/>
          <w:szCs w:val="32"/>
          <w:lang w:val="en-US" w:eastAsia="zh-CN" w:bidi="ar"/>
        </w:rPr>
        <w:t>第五条</w:t>
      </w:r>
      <w:r>
        <w:rPr>
          <w:rFonts w:ascii="仿宋_GB2312" w:hAnsi="仿宋_GB2312" w:eastAsia="仿宋_GB2312" w:cs="仿宋_GB2312"/>
          <w:sz w:val="32"/>
        </w:rPr>
        <w:t>　</w:t>
      </w:r>
      <w:r>
        <w:rPr>
          <w:rFonts w:hint="eastAsia" w:ascii="仿宋_GB2312" w:hAnsi="仿宋_GB2312" w:eastAsia="仿宋_GB2312" w:cs="仿宋_GB2312"/>
          <w:b w:val="0"/>
          <w:bCs w:val="0"/>
          <w:kern w:val="2"/>
          <w:sz w:val="32"/>
          <w:szCs w:val="32"/>
          <w:lang w:val="en-US" w:eastAsia="zh-CN" w:bidi="ar"/>
        </w:rPr>
        <w:t>本市销售的电动自行车应当符合国家安全技术标准并获得强制性产品认证。</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kern w:val="2"/>
          <w:sz w:val="32"/>
          <w:szCs w:val="32"/>
          <w:lang w:val="en-US" w:eastAsia="zh-CN" w:bidi="ar"/>
        </w:rPr>
      </w:pPr>
      <w:r>
        <w:rPr>
          <w:rFonts w:hint="eastAsia" w:ascii="仿宋_GB2312" w:hAnsi="仿宋_GB2312" w:eastAsia="仿宋_GB2312" w:cs="仿宋_GB2312"/>
          <w:b w:val="0"/>
          <w:bCs w:val="0"/>
          <w:kern w:val="2"/>
          <w:sz w:val="32"/>
          <w:szCs w:val="32"/>
          <w:lang w:val="en-US" w:eastAsia="zh-CN" w:bidi="ar"/>
        </w:rPr>
        <w:t>电动自行车销售者应当在销售场所醒目位置公示所售电动自行车符合国家安全技术标准并获得强制性产品认证的有关信息。</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kern w:val="2"/>
          <w:sz w:val="32"/>
          <w:szCs w:val="32"/>
          <w:lang w:val="en-US" w:eastAsia="zh-CN" w:bidi="ar"/>
        </w:rPr>
      </w:pPr>
      <w:r>
        <w:rPr>
          <w:rFonts w:hint="eastAsia" w:ascii="黑体" w:hAnsi="黑体" w:eastAsia="黑体" w:cs="黑体"/>
          <w:b w:val="0"/>
          <w:bCs w:val="0"/>
          <w:kern w:val="2"/>
          <w:sz w:val="32"/>
          <w:szCs w:val="32"/>
          <w:lang w:val="en-US" w:eastAsia="zh-CN" w:bidi="ar"/>
        </w:rPr>
        <w:t>第六条</w:t>
      </w:r>
      <w:r>
        <w:rPr>
          <w:rFonts w:ascii="仿宋_GB2312" w:hAnsi="仿宋_GB2312" w:eastAsia="仿宋_GB2312" w:cs="仿宋_GB2312"/>
          <w:sz w:val="32"/>
        </w:rPr>
        <w:t>　</w:t>
      </w:r>
      <w:r>
        <w:rPr>
          <w:rFonts w:hint="eastAsia" w:ascii="仿宋_GB2312" w:hAnsi="仿宋_GB2312" w:eastAsia="仿宋_GB2312" w:cs="仿宋_GB2312"/>
          <w:b w:val="0"/>
          <w:bCs w:val="0"/>
          <w:kern w:val="2"/>
          <w:sz w:val="32"/>
          <w:szCs w:val="32"/>
          <w:lang w:val="en-US" w:eastAsia="zh-CN" w:bidi="ar"/>
        </w:rPr>
        <w:t>电动自行车依法实行实名登记管理制度。电动自行车经注册登记、安装号牌后，方可上道路行驶。</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kern w:val="2"/>
          <w:sz w:val="32"/>
          <w:szCs w:val="32"/>
          <w:lang w:val="en-US" w:eastAsia="zh-CN" w:bidi="ar"/>
        </w:rPr>
      </w:pPr>
      <w:r>
        <w:rPr>
          <w:rFonts w:hint="eastAsia" w:ascii="仿宋_GB2312" w:hAnsi="仿宋_GB2312" w:eastAsia="仿宋_GB2312" w:cs="仿宋_GB2312"/>
          <w:b w:val="0"/>
          <w:bCs w:val="0"/>
          <w:kern w:val="2"/>
          <w:sz w:val="32"/>
          <w:szCs w:val="32"/>
          <w:lang w:val="en-US" w:eastAsia="zh-CN" w:bidi="ar"/>
        </w:rPr>
        <w:t>公安机关交通管理部门应当遵循便民利民的原则，建设电动自行车登记信息系统，并在公安派出所、电动自行车销售点等场所设立电动自行车登记代办点。电动自行车登记代办点应当协助电动自行车所有人完成注册登记申请、安装号牌。电动自行车注册登记、安装号牌不得收取费用。</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kern w:val="2"/>
          <w:sz w:val="32"/>
          <w:szCs w:val="32"/>
          <w:lang w:val="en-US" w:eastAsia="zh-CN" w:bidi="ar"/>
        </w:rPr>
      </w:pPr>
      <w:r>
        <w:rPr>
          <w:rFonts w:hint="eastAsia" w:ascii="黑体" w:hAnsi="黑体" w:eastAsia="黑体" w:cs="黑体"/>
          <w:b w:val="0"/>
          <w:bCs w:val="0"/>
          <w:kern w:val="2"/>
          <w:sz w:val="32"/>
          <w:szCs w:val="32"/>
          <w:lang w:val="en-US" w:eastAsia="zh-CN" w:bidi="ar"/>
        </w:rPr>
        <w:t>第七条</w:t>
      </w:r>
      <w:r>
        <w:rPr>
          <w:rFonts w:ascii="仿宋_GB2312" w:hAnsi="仿宋_GB2312" w:eastAsia="仿宋_GB2312" w:cs="仿宋_GB2312"/>
          <w:sz w:val="32"/>
        </w:rPr>
        <w:t>　</w:t>
      </w:r>
      <w:r>
        <w:rPr>
          <w:rFonts w:hint="eastAsia" w:ascii="仿宋_GB2312" w:hAnsi="仿宋_GB2312" w:eastAsia="仿宋_GB2312" w:cs="仿宋_GB2312"/>
          <w:b w:val="0"/>
          <w:bCs w:val="0"/>
          <w:kern w:val="2"/>
          <w:sz w:val="32"/>
          <w:szCs w:val="32"/>
          <w:lang w:val="en-US" w:eastAsia="zh-CN" w:bidi="ar"/>
        </w:rPr>
        <w:t>新购买的电动自行车应当自购车之日起三十日内完成注册登记、安装号牌。</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kern w:val="2"/>
          <w:sz w:val="32"/>
          <w:szCs w:val="32"/>
          <w:lang w:val="en-US" w:eastAsia="zh-CN" w:bidi="ar"/>
        </w:rPr>
      </w:pPr>
      <w:r>
        <w:rPr>
          <w:rFonts w:hint="eastAsia" w:ascii="仿宋_GB2312" w:hAnsi="仿宋_GB2312" w:eastAsia="仿宋_GB2312" w:cs="仿宋_GB2312"/>
          <w:b w:val="0"/>
          <w:bCs w:val="0"/>
          <w:kern w:val="2"/>
          <w:sz w:val="32"/>
          <w:szCs w:val="32"/>
          <w:lang w:val="en-US" w:eastAsia="zh-CN" w:bidi="ar"/>
        </w:rPr>
        <w:t>本条例施行前已购买但未注册登记、安装号牌的电动自行车，所有人应当在本条例施行之日起三个月内向公安机关交通管理部门申请补办登记上牌。</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kern w:val="2"/>
          <w:sz w:val="32"/>
          <w:szCs w:val="32"/>
          <w:lang w:val="en-US" w:eastAsia="zh-CN" w:bidi="ar"/>
        </w:rPr>
      </w:pPr>
      <w:r>
        <w:rPr>
          <w:rFonts w:hint="eastAsia" w:ascii="黑体" w:hAnsi="黑体" w:eastAsia="黑体" w:cs="黑体"/>
          <w:b w:val="0"/>
          <w:bCs w:val="0"/>
          <w:kern w:val="2"/>
          <w:sz w:val="32"/>
          <w:szCs w:val="32"/>
          <w:lang w:val="en-US" w:eastAsia="zh-CN" w:bidi="ar"/>
        </w:rPr>
        <w:t>第八条</w:t>
      </w:r>
      <w:r>
        <w:rPr>
          <w:rFonts w:ascii="仿宋_GB2312" w:hAnsi="仿宋_GB2312" w:eastAsia="仿宋_GB2312" w:cs="仿宋_GB2312"/>
          <w:sz w:val="32"/>
        </w:rPr>
        <w:t>　</w:t>
      </w:r>
      <w:r>
        <w:rPr>
          <w:rFonts w:hint="eastAsia" w:ascii="仿宋_GB2312" w:hAnsi="仿宋_GB2312" w:eastAsia="仿宋_GB2312" w:cs="仿宋_GB2312"/>
          <w:b w:val="0"/>
          <w:bCs w:val="0"/>
          <w:kern w:val="2"/>
          <w:sz w:val="32"/>
          <w:szCs w:val="32"/>
          <w:lang w:val="en-US" w:eastAsia="zh-CN" w:bidi="ar"/>
        </w:rPr>
        <w:t>本条例施行前已购买的不符合国家安全技术标准的电动自行车，实行过渡期管理，由公安机关交通管理部门按照有关规定发放临时号牌。过渡期限由市公安机关规定，报市人民政府同意，并及时向社会公布。</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kern w:val="2"/>
          <w:sz w:val="32"/>
          <w:szCs w:val="32"/>
          <w:lang w:val="en-US" w:eastAsia="zh-CN" w:bidi="ar"/>
        </w:rPr>
      </w:pPr>
      <w:r>
        <w:rPr>
          <w:rFonts w:hint="eastAsia" w:ascii="黑体" w:hAnsi="黑体" w:eastAsia="黑体" w:cs="黑体"/>
          <w:b w:val="0"/>
          <w:bCs w:val="0"/>
          <w:kern w:val="2"/>
          <w:sz w:val="32"/>
          <w:szCs w:val="32"/>
          <w:lang w:val="en-US" w:eastAsia="zh-CN" w:bidi="ar"/>
        </w:rPr>
        <w:t>第九条</w:t>
      </w:r>
      <w:r>
        <w:rPr>
          <w:rFonts w:ascii="仿宋_GB2312" w:hAnsi="仿宋_GB2312" w:eastAsia="仿宋_GB2312" w:cs="仿宋_GB2312"/>
          <w:sz w:val="32"/>
        </w:rPr>
        <w:t>　</w:t>
      </w:r>
      <w:r>
        <w:rPr>
          <w:rFonts w:hint="eastAsia" w:ascii="仿宋_GB2312" w:hAnsi="仿宋_GB2312" w:eastAsia="仿宋_GB2312" w:cs="仿宋_GB2312"/>
          <w:b w:val="0"/>
          <w:bCs w:val="0"/>
          <w:kern w:val="2"/>
          <w:sz w:val="32"/>
          <w:szCs w:val="32"/>
          <w:lang w:val="en-US" w:eastAsia="zh-CN" w:bidi="ar"/>
        </w:rPr>
        <w:t>互联网租赁电动自行车企业应当履行主体责任，按照规定登记上牌、加强车辆维护、设置电子围栏、随车提供安全头盔并保证正常使用。</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kern w:val="2"/>
          <w:sz w:val="32"/>
          <w:szCs w:val="32"/>
          <w:lang w:val="en-US" w:eastAsia="zh-CN" w:bidi="ar"/>
        </w:rPr>
      </w:pPr>
      <w:r>
        <w:rPr>
          <w:rFonts w:hint="eastAsia" w:ascii="仿宋_GB2312" w:hAnsi="仿宋_GB2312" w:eastAsia="仿宋_GB2312" w:cs="仿宋_GB2312"/>
          <w:b w:val="0"/>
          <w:bCs w:val="0"/>
          <w:kern w:val="2"/>
          <w:sz w:val="32"/>
          <w:szCs w:val="32"/>
          <w:lang w:val="en-US" w:eastAsia="zh-CN" w:bidi="ar"/>
        </w:rPr>
        <w:t>使用电动自行车从事物流、快递、外卖等配送活动的企业，应当建立健全内部管理制度，督促驾驶人遵守道路交通安全法律、法规。</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kern w:val="2"/>
          <w:sz w:val="32"/>
          <w:szCs w:val="32"/>
          <w:lang w:val="en-US" w:eastAsia="zh-CN" w:bidi="ar"/>
        </w:rPr>
      </w:pPr>
      <w:r>
        <w:rPr>
          <w:rFonts w:hint="eastAsia" w:ascii="黑体" w:hAnsi="黑体" w:eastAsia="黑体" w:cs="黑体"/>
          <w:b w:val="0"/>
          <w:bCs w:val="0"/>
          <w:kern w:val="2"/>
          <w:sz w:val="32"/>
          <w:szCs w:val="32"/>
          <w:lang w:val="en-US" w:eastAsia="zh-CN" w:bidi="ar"/>
        </w:rPr>
        <w:t>第十条</w:t>
      </w:r>
      <w:r>
        <w:rPr>
          <w:rFonts w:ascii="仿宋_GB2312" w:hAnsi="仿宋_GB2312" w:eastAsia="仿宋_GB2312" w:cs="仿宋_GB2312"/>
          <w:sz w:val="32"/>
        </w:rPr>
        <w:t>　</w:t>
      </w:r>
      <w:r>
        <w:rPr>
          <w:rFonts w:hint="eastAsia" w:ascii="仿宋_GB2312" w:hAnsi="仿宋_GB2312" w:eastAsia="仿宋_GB2312" w:cs="仿宋_GB2312"/>
          <w:b w:val="0"/>
          <w:bCs w:val="0"/>
          <w:kern w:val="2"/>
          <w:sz w:val="32"/>
          <w:szCs w:val="32"/>
          <w:lang w:val="en-US" w:eastAsia="zh-CN" w:bidi="ar"/>
        </w:rPr>
        <w:t>鼓励电动自行车销售者采取以旧换新、折价回购等方式提前报废不符合国家安全技术标准的电动自行车。</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kern w:val="2"/>
          <w:sz w:val="32"/>
          <w:szCs w:val="32"/>
          <w:lang w:val="en-US" w:eastAsia="zh-CN" w:bidi="ar"/>
        </w:rPr>
      </w:pPr>
      <w:r>
        <w:rPr>
          <w:rFonts w:hint="eastAsia" w:ascii="仿宋_GB2312" w:hAnsi="仿宋_GB2312" w:eastAsia="仿宋_GB2312" w:cs="仿宋_GB2312"/>
          <w:b w:val="0"/>
          <w:bCs w:val="0"/>
          <w:kern w:val="2"/>
          <w:sz w:val="32"/>
          <w:szCs w:val="32"/>
          <w:lang w:val="en-US" w:eastAsia="zh-CN" w:bidi="ar"/>
        </w:rPr>
        <w:t>鼓励电动自行车所有人投保第三者责任险、驾驶人人身意外伤害险等非机动车保险；鼓励保险企业开展电动自行车交通安全事故责任险业务。</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kern w:val="2"/>
          <w:sz w:val="32"/>
          <w:szCs w:val="32"/>
          <w:lang w:val="en-US" w:eastAsia="zh-CN" w:bidi="ar"/>
        </w:rPr>
      </w:pPr>
      <w:r>
        <w:rPr>
          <w:rFonts w:hint="eastAsia" w:ascii="黑体" w:hAnsi="黑体" w:eastAsia="黑体" w:cs="黑体"/>
          <w:b w:val="0"/>
          <w:bCs w:val="0"/>
          <w:kern w:val="2"/>
          <w:sz w:val="32"/>
          <w:szCs w:val="32"/>
          <w:lang w:val="en-US" w:eastAsia="zh-CN" w:bidi="ar"/>
        </w:rPr>
        <w:t>第十一条</w:t>
      </w:r>
      <w:r>
        <w:rPr>
          <w:rFonts w:ascii="仿宋_GB2312" w:hAnsi="仿宋_GB2312" w:eastAsia="仿宋_GB2312" w:cs="仿宋_GB2312"/>
          <w:sz w:val="32"/>
        </w:rPr>
        <w:t>　</w:t>
      </w:r>
      <w:r>
        <w:rPr>
          <w:rFonts w:hint="eastAsia" w:ascii="仿宋_GB2312" w:hAnsi="仿宋_GB2312" w:eastAsia="仿宋_GB2312" w:cs="仿宋_GB2312"/>
          <w:b w:val="0"/>
          <w:bCs w:val="0"/>
          <w:kern w:val="2"/>
          <w:sz w:val="32"/>
          <w:szCs w:val="32"/>
          <w:lang w:val="en-US" w:eastAsia="zh-CN" w:bidi="ar"/>
        </w:rPr>
        <w:t>驾驶或者乘坐电动自行车应当规范佩戴安全头盔。</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kern w:val="2"/>
          <w:sz w:val="32"/>
          <w:szCs w:val="32"/>
          <w:lang w:val="en-US" w:eastAsia="zh-CN" w:bidi="ar"/>
        </w:rPr>
      </w:pPr>
      <w:r>
        <w:rPr>
          <w:rFonts w:hint="eastAsia" w:ascii="黑体" w:hAnsi="黑体" w:eastAsia="黑体" w:cs="黑体"/>
          <w:b w:val="0"/>
          <w:bCs w:val="0"/>
          <w:kern w:val="2"/>
          <w:sz w:val="32"/>
          <w:szCs w:val="32"/>
          <w:lang w:val="en-US" w:eastAsia="zh-CN" w:bidi="ar"/>
        </w:rPr>
        <w:t>第十二条</w:t>
      </w:r>
      <w:r>
        <w:rPr>
          <w:rFonts w:ascii="仿宋_GB2312" w:hAnsi="仿宋_GB2312" w:eastAsia="仿宋_GB2312" w:cs="仿宋_GB2312"/>
          <w:sz w:val="32"/>
        </w:rPr>
        <w:t>　</w:t>
      </w:r>
      <w:r>
        <w:rPr>
          <w:rFonts w:hint="eastAsia" w:ascii="仿宋_GB2312" w:hAnsi="仿宋_GB2312" w:eastAsia="仿宋_GB2312" w:cs="仿宋_GB2312"/>
          <w:b w:val="0"/>
          <w:bCs w:val="0"/>
          <w:kern w:val="2"/>
          <w:sz w:val="32"/>
          <w:szCs w:val="32"/>
          <w:lang w:val="en-US" w:eastAsia="zh-CN" w:bidi="ar"/>
        </w:rPr>
        <w:t>禁止驾驶拼装、改装或者加装妨碍交通安全装置的电动自行车上道路行驶。</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kern w:val="2"/>
          <w:sz w:val="32"/>
          <w:szCs w:val="32"/>
          <w:lang w:val="en-US" w:eastAsia="zh-CN" w:bidi="ar"/>
        </w:rPr>
      </w:pPr>
      <w:r>
        <w:rPr>
          <w:rFonts w:hint="eastAsia" w:ascii="黑体" w:hAnsi="黑体" w:eastAsia="黑体" w:cs="黑体"/>
          <w:b w:val="0"/>
          <w:bCs w:val="0"/>
          <w:kern w:val="2"/>
          <w:sz w:val="32"/>
          <w:szCs w:val="32"/>
          <w:lang w:val="en-US" w:eastAsia="zh-CN" w:bidi="ar"/>
        </w:rPr>
        <w:t>第十三条</w:t>
      </w:r>
      <w:r>
        <w:rPr>
          <w:rFonts w:ascii="仿宋_GB2312" w:hAnsi="仿宋_GB2312" w:eastAsia="仿宋_GB2312" w:cs="仿宋_GB2312"/>
          <w:sz w:val="32"/>
        </w:rPr>
        <w:t>　</w:t>
      </w:r>
      <w:r>
        <w:rPr>
          <w:rFonts w:hint="eastAsia" w:ascii="仿宋_GB2312" w:hAnsi="仿宋_GB2312" w:eastAsia="仿宋_GB2312" w:cs="仿宋_GB2312"/>
          <w:b w:val="0"/>
          <w:bCs w:val="0"/>
          <w:kern w:val="2"/>
          <w:sz w:val="32"/>
          <w:szCs w:val="32"/>
          <w:lang w:val="en-US" w:eastAsia="zh-CN" w:bidi="ar"/>
        </w:rPr>
        <w:t>驾驶电动自行车上道路行驶，禁止下列行为：</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kern w:val="2"/>
          <w:sz w:val="32"/>
          <w:szCs w:val="32"/>
          <w:lang w:val="en-US" w:eastAsia="zh-CN" w:bidi="ar"/>
        </w:rPr>
      </w:pPr>
      <w:r>
        <w:rPr>
          <w:rFonts w:hint="eastAsia" w:ascii="仿宋_GB2312" w:hAnsi="仿宋_GB2312" w:eastAsia="仿宋_GB2312" w:cs="仿宋_GB2312"/>
          <w:b w:val="0"/>
          <w:bCs w:val="0"/>
          <w:kern w:val="2"/>
          <w:sz w:val="32"/>
          <w:szCs w:val="32"/>
          <w:lang w:val="en-US" w:eastAsia="zh-CN" w:bidi="ar"/>
        </w:rPr>
        <w:t>（一）未悬挂号牌；</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kern w:val="2"/>
          <w:sz w:val="32"/>
          <w:szCs w:val="32"/>
          <w:lang w:val="en-US" w:eastAsia="zh-CN" w:bidi="ar"/>
        </w:rPr>
      </w:pPr>
      <w:r>
        <w:rPr>
          <w:rFonts w:hint="eastAsia" w:ascii="仿宋_GB2312" w:hAnsi="仿宋_GB2312" w:eastAsia="仿宋_GB2312" w:cs="仿宋_GB2312"/>
          <w:b w:val="0"/>
          <w:bCs w:val="0"/>
          <w:kern w:val="2"/>
          <w:sz w:val="32"/>
          <w:szCs w:val="32"/>
          <w:lang w:val="en-US" w:eastAsia="zh-CN" w:bidi="ar"/>
        </w:rPr>
        <w:t>（二）不按照交通信号指示通行、逆向行驶或者超速行驶；</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kern w:val="2"/>
          <w:sz w:val="32"/>
          <w:szCs w:val="32"/>
          <w:lang w:val="en-US" w:eastAsia="zh-CN" w:bidi="ar"/>
        </w:rPr>
      </w:pPr>
      <w:r>
        <w:rPr>
          <w:rFonts w:hint="eastAsia" w:ascii="仿宋_GB2312" w:hAnsi="仿宋_GB2312" w:eastAsia="仿宋_GB2312" w:cs="仿宋_GB2312"/>
          <w:b w:val="0"/>
          <w:bCs w:val="0"/>
          <w:kern w:val="2"/>
          <w:sz w:val="32"/>
          <w:szCs w:val="32"/>
          <w:lang w:val="en-US" w:eastAsia="zh-CN" w:bidi="ar"/>
        </w:rPr>
        <w:t>（三）醉酒驾驶；</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kern w:val="2"/>
          <w:sz w:val="32"/>
          <w:szCs w:val="32"/>
          <w:lang w:val="en-US" w:eastAsia="zh-CN" w:bidi="ar"/>
        </w:rPr>
      </w:pPr>
      <w:r>
        <w:rPr>
          <w:rFonts w:hint="eastAsia" w:ascii="仿宋_GB2312" w:hAnsi="仿宋_GB2312" w:eastAsia="仿宋_GB2312" w:cs="仿宋_GB2312"/>
          <w:b w:val="0"/>
          <w:bCs w:val="0"/>
          <w:kern w:val="2"/>
          <w:sz w:val="32"/>
          <w:szCs w:val="32"/>
          <w:lang w:val="en-US" w:eastAsia="zh-CN" w:bidi="ar"/>
        </w:rPr>
        <w:t>（四）手中持物、单手扶持行驶或者浏览电子设备等影响安全驾驶的行为；</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kern w:val="2"/>
          <w:sz w:val="32"/>
          <w:szCs w:val="32"/>
          <w:lang w:val="en-US" w:eastAsia="zh-CN" w:bidi="ar"/>
        </w:rPr>
      </w:pPr>
      <w:r>
        <w:rPr>
          <w:rFonts w:hint="eastAsia" w:ascii="仿宋_GB2312" w:hAnsi="仿宋_GB2312" w:eastAsia="仿宋_GB2312" w:cs="仿宋_GB2312"/>
          <w:b w:val="0"/>
          <w:bCs w:val="0"/>
          <w:kern w:val="2"/>
          <w:sz w:val="32"/>
          <w:szCs w:val="32"/>
          <w:lang w:val="en-US" w:eastAsia="zh-CN" w:bidi="ar"/>
        </w:rPr>
        <w:t>（五）危害交通出行的其他行为。</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kern w:val="2"/>
          <w:sz w:val="32"/>
          <w:szCs w:val="32"/>
          <w:lang w:val="en-US" w:eastAsia="zh-CN" w:bidi="ar"/>
        </w:rPr>
      </w:pPr>
      <w:r>
        <w:rPr>
          <w:rFonts w:hint="eastAsia" w:ascii="黑体" w:hAnsi="黑体" w:eastAsia="黑体" w:cs="黑体"/>
          <w:b w:val="0"/>
          <w:bCs w:val="0"/>
          <w:kern w:val="2"/>
          <w:sz w:val="32"/>
          <w:szCs w:val="32"/>
          <w:lang w:val="en-US" w:eastAsia="zh-CN" w:bidi="ar"/>
        </w:rPr>
        <w:t>第十四条</w:t>
      </w:r>
      <w:r>
        <w:rPr>
          <w:rFonts w:ascii="仿宋_GB2312" w:hAnsi="仿宋_GB2312" w:eastAsia="仿宋_GB2312" w:cs="仿宋_GB2312"/>
          <w:sz w:val="32"/>
        </w:rPr>
        <w:t>　</w:t>
      </w:r>
      <w:r>
        <w:rPr>
          <w:rFonts w:hint="eastAsia" w:ascii="仿宋_GB2312" w:hAnsi="仿宋_GB2312" w:eastAsia="仿宋_GB2312" w:cs="仿宋_GB2312"/>
          <w:b w:val="0"/>
          <w:bCs w:val="0"/>
          <w:kern w:val="2"/>
          <w:sz w:val="32"/>
          <w:szCs w:val="32"/>
          <w:lang w:val="en-US" w:eastAsia="zh-CN" w:bidi="ar"/>
        </w:rPr>
        <w:t>新建、改建或者扩建城市道路，应当优化道路资源配置，配套完善非机动车通行道路等基础设施。</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kern w:val="2"/>
          <w:sz w:val="32"/>
          <w:szCs w:val="32"/>
          <w:lang w:val="en-US" w:eastAsia="zh-CN" w:bidi="ar"/>
        </w:rPr>
      </w:pPr>
      <w:r>
        <w:rPr>
          <w:rFonts w:hint="eastAsia" w:ascii="黑体" w:hAnsi="黑体" w:eastAsia="黑体" w:cs="黑体"/>
          <w:b w:val="0"/>
          <w:bCs w:val="0"/>
          <w:kern w:val="2"/>
          <w:sz w:val="32"/>
          <w:szCs w:val="32"/>
          <w:lang w:val="en-US" w:eastAsia="zh-CN" w:bidi="ar"/>
        </w:rPr>
        <w:t>第十五条</w:t>
      </w:r>
      <w:r>
        <w:rPr>
          <w:rFonts w:ascii="仿宋_GB2312" w:hAnsi="仿宋_GB2312" w:eastAsia="仿宋_GB2312" w:cs="仿宋_GB2312"/>
          <w:sz w:val="32"/>
        </w:rPr>
        <w:t>　</w:t>
      </w:r>
      <w:r>
        <w:rPr>
          <w:rFonts w:hint="eastAsia" w:ascii="仿宋_GB2312" w:hAnsi="仿宋_GB2312" w:eastAsia="仿宋_GB2312" w:cs="仿宋_GB2312"/>
          <w:b w:val="0"/>
          <w:bCs w:val="0"/>
          <w:kern w:val="2"/>
          <w:sz w:val="32"/>
          <w:szCs w:val="32"/>
          <w:lang w:val="en-US" w:eastAsia="zh-CN" w:bidi="ar"/>
        </w:rPr>
        <w:t>城市规划区和县人民政府所在地主要道路两侧应当设置电动自行车集中停放区域，有条件的配套建设充电设施。</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kern w:val="2"/>
          <w:sz w:val="32"/>
          <w:szCs w:val="32"/>
          <w:lang w:val="en-US" w:eastAsia="zh-CN" w:bidi="ar"/>
        </w:rPr>
      </w:pPr>
      <w:r>
        <w:rPr>
          <w:rFonts w:hint="eastAsia" w:ascii="仿宋_GB2312" w:hAnsi="仿宋_GB2312" w:eastAsia="仿宋_GB2312" w:cs="仿宋_GB2312"/>
          <w:b w:val="0"/>
          <w:bCs w:val="0"/>
          <w:kern w:val="2"/>
          <w:sz w:val="32"/>
          <w:szCs w:val="32"/>
          <w:lang w:val="en-US" w:eastAsia="zh-CN" w:bidi="ar"/>
        </w:rPr>
        <w:t>火车站、汽车站、医院、学校、商场、集贸市场、公园、体育场馆等人员流动较大的场所，应当按照有关规定和标准，配套规划、建设非机动车公共停车场地。</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kern w:val="2"/>
          <w:sz w:val="32"/>
          <w:szCs w:val="32"/>
          <w:lang w:val="en-US" w:eastAsia="zh-CN" w:bidi="ar"/>
        </w:rPr>
      </w:pPr>
      <w:r>
        <w:rPr>
          <w:rFonts w:hint="eastAsia" w:ascii="仿宋_GB2312" w:hAnsi="仿宋_GB2312" w:eastAsia="仿宋_GB2312" w:cs="仿宋_GB2312"/>
          <w:b w:val="0"/>
          <w:bCs w:val="0"/>
          <w:kern w:val="2"/>
          <w:sz w:val="32"/>
          <w:szCs w:val="32"/>
          <w:lang w:val="en-US" w:eastAsia="zh-CN" w:bidi="ar"/>
        </w:rPr>
        <w:t>办公场所和居民住宅区应当设置电动自行车集中停放区域、充电设施。因客观条件受限无法设置集中停放区域、充电设施的，应当划设电动自行车临时停放点。</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kern w:val="2"/>
          <w:sz w:val="32"/>
          <w:szCs w:val="32"/>
          <w:lang w:val="en-US" w:eastAsia="zh-CN" w:bidi="ar"/>
        </w:rPr>
      </w:pPr>
      <w:r>
        <w:rPr>
          <w:rFonts w:hint="eastAsia" w:ascii="黑体" w:hAnsi="黑体" w:eastAsia="黑体" w:cs="黑体"/>
          <w:b w:val="0"/>
          <w:bCs w:val="0"/>
          <w:kern w:val="2"/>
          <w:sz w:val="32"/>
          <w:szCs w:val="32"/>
          <w:lang w:val="en-US" w:eastAsia="zh-CN" w:bidi="ar"/>
        </w:rPr>
        <w:t>第十六条</w:t>
      </w:r>
      <w:r>
        <w:rPr>
          <w:rFonts w:ascii="仿宋_GB2312" w:hAnsi="仿宋_GB2312" w:eastAsia="仿宋_GB2312" w:cs="仿宋_GB2312"/>
          <w:sz w:val="32"/>
        </w:rPr>
        <w:t>　</w:t>
      </w:r>
      <w:r>
        <w:rPr>
          <w:rFonts w:hint="eastAsia" w:ascii="仿宋_GB2312" w:hAnsi="仿宋_GB2312" w:eastAsia="仿宋_GB2312" w:cs="仿宋_GB2312"/>
          <w:b w:val="0"/>
          <w:bCs w:val="0"/>
          <w:kern w:val="2"/>
          <w:sz w:val="32"/>
          <w:szCs w:val="32"/>
          <w:lang w:val="en-US" w:eastAsia="zh-CN" w:bidi="ar"/>
        </w:rPr>
        <w:t>电动自行车应当在停放区域有序停放。没有设置停放区域的，电动自行车停放不得妨碍其他车辆和行人通行。</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kern w:val="2"/>
          <w:sz w:val="32"/>
          <w:szCs w:val="32"/>
          <w:lang w:val="en-US" w:eastAsia="zh-CN" w:bidi="ar"/>
        </w:rPr>
      </w:pPr>
      <w:r>
        <w:rPr>
          <w:rFonts w:hint="eastAsia" w:ascii="黑体" w:hAnsi="黑体" w:eastAsia="黑体" w:cs="黑体"/>
          <w:b w:val="0"/>
          <w:bCs w:val="0"/>
          <w:kern w:val="2"/>
          <w:sz w:val="32"/>
          <w:szCs w:val="32"/>
          <w:lang w:val="en-US" w:eastAsia="zh-CN" w:bidi="ar"/>
        </w:rPr>
        <w:t>第十七条</w:t>
      </w:r>
      <w:r>
        <w:rPr>
          <w:rFonts w:ascii="仿宋_GB2312" w:hAnsi="仿宋_GB2312" w:eastAsia="仿宋_GB2312" w:cs="仿宋_GB2312"/>
          <w:sz w:val="32"/>
        </w:rPr>
        <w:t>　</w:t>
      </w:r>
      <w:r>
        <w:rPr>
          <w:rFonts w:hint="eastAsia" w:ascii="仿宋_GB2312" w:hAnsi="仿宋_GB2312" w:eastAsia="仿宋_GB2312" w:cs="仿宋_GB2312"/>
          <w:b w:val="0"/>
          <w:bCs w:val="0"/>
          <w:kern w:val="2"/>
          <w:sz w:val="32"/>
          <w:szCs w:val="32"/>
          <w:lang w:val="en-US" w:eastAsia="zh-CN" w:bidi="ar"/>
        </w:rPr>
        <w:t>违反本条例规定，驾驶未注册登记、安装号牌的电动自行车上道路行驶的，由公安机关交通管理部门责令改正，处警告或者二十元罚款。</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kern w:val="2"/>
          <w:sz w:val="32"/>
          <w:szCs w:val="32"/>
          <w:lang w:val="en-US" w:eastAsia="zh-CN" w:bidi="ar"/>
        </w:rPr>
      </w:pPr>
      <w:r>
        <w:rPr>
          <w:rFonts w:hint="eastAsia" w:ascii="黑体" w:hAnsi="黑体" w:eastAsia="黑体" w:cs="黑体"/>
          <w:b w:val="0"/>
          <w:bCs w:val="0"/>
          <w:kern w:val="2"/>
          <w:sz w:val="32"/>
          <w:szCs w:val="32"/>
          <w:lang w:val="en-US" w:eastAsia="zh-CN" w:bidi="ar"/>
        </w:rPr>
        <w:t>第十八条</w:t>
      </w:r>
      <w:r>
        <w:rPr>
          <w:rFonts w:ascii="仿宋_GB2312" w:hAnsi="仿宋_GB2312" w:eastAsia="仿宋_GB2312" w:cs="仿宋_GB2312"/>
          <w:sz w:val="32"/>
        </w:rPr>
        <w:t>　</w:t>
      </w:r>
      <w:r>
        <w:rPr>
          <w:rFonts w:hint="eastAsia" w:ascii="仿宋_GB2312" w:hAnsi="仿宋_GB2312" w:eastAsia="仿宋_GB2312" w:cs="仿宋_GB2312"/>
          <w:b w:val="0"/>
          <w:bCs w:val="0"/>
          <w:kern w:val="2"/>
          <w:sz w:val="32"/>
          <w:szCs w:val="32"/>
          <w:lang w:val="en-US" w:eastAsia="zh-CN" w:bidi="ar"/>
        </w:rPr>
        <w:t>违反本条例第十一条规定的，由公安机关交通管理部门责令改正</w:t>
      </w:r>
      <w:r>
        <w:rPr>
          <w:rFonts w:hint="eastAsia" w:ascii="仿宋_GB2312" w:hAnsi="仿宋_GB2312" w:cs="仿宋_GB2312"/>
          <w:b w:val="0"/>
          <w:bCs w:val="0"/>
          <w:kern w:val="2"/>
          <w:sz w:val="32"/>
          <w:szCs w:val="32"/>
          <w:lang w:val="en-US" w:eastAsia="zh-CN" w:bidi="ar"/>
        </w:rPr>
        <w:t>，</w:t>
      </w:r>
      <w:r>
        <w:rPr>
          <w:rFonts w:hint="eastAsia" w:ascii="仿宋_GB2312" w:hAnsi="仿宋_GB2312" w:eastAsia="仿宋_GB2312" w:cs="仿宋_GB2312"/>
          <w:b w:val="0"/>
          <w:bCs w:val="0"/>
          <w:kern w:val="2"/>
          <w:sz w:val="32"/>
          <w:szCs w:val="32"/>
          <w:lang w:val="en-US" w:eastAsia="zh-CN" w:bidi="ar"/>
        </w:rPr>
        <w:t>批评教育后放行；拒不改正的，处二十元罚款。</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kern w:val="2"/>
          <w:sz w:val="32"/>
          <w:szCs w:val="32"/>
          <w:lang w:val="en-US" w:eastAsia="zh-CN" w:bidi="ar"/>
        </w:rPr>
      </w:pPr>
      <w:r>
        <w:rPr>
          <w:rFonts w:hint="eastAsia" w:ascii="黑体" w:hAnsi="黑体" w:eastAsia="黑体" w:cs="黑体"/>
          <w:b w:val="0"/>
          <w:bCs w:val="0"/>
          <w:kern w:val="2"/>
          <w:sz w:val="32"/>
          <w:szCs w:val="32"/>
          <w:lang w:val="en-US" w:eastAsia="zh-CN" w:bidi="ar"/>
        </w:rPr>
        <w:t>第十九条</w:t>
      </w:r>
      <w:r>
        <w:rPr>
          <w:rFonts w:ascii="仿宋_GB2312" w:hAnsi="仿宋_GB2312" w:eastAsia="仿宋_GB2312" w:cs="仿宋_GB2312"/>
          <w:sz w:val="32"/>
        </w:rPr>
        <w:t>　</w:t>
      </w:r>
      <w:r>
        <w:rPr>
          <w:rFonts w:hint="eastAsia" w:ascii="仿宋_GB2312" w:hAnsi="仿宋_GB2312" w:eastAsia="仿宋_GB2312" w:cs="仿宋_GB2312"/>
          <w:b w:val="0"/>
          <w:bCs w:val="0"/>
          <w:kern w:val="2"/>
          <w:sz w:val="32"/>
          <w:szCs w:val="32"/>
          <w:lang w:val="en-US" w:eastAsia="zh-CN" w:bidi="ar"/>
        </w:rPr>
        <w:t>负有电动自行车管理职责的相关行政管理部门及其工作人员不依法履行职责，滥用职权、玩忽职守、徇私舞弊的，对直接负责的主管人员和其他直接责任人员依法给予处分；构成犯罪的，依法追究刑事责任。</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kern w:val="2"/>
          <w:sz w:val="32"/>
          <w:szCs w:val="32"/>
          <w:lang w:val="en-US" w:eastAsia="zh-CN" w:bidi="ar"/>
        </w:rPr>
      </w:pPr>
      <w:r>
        <w:rPr>
          <w:rFonts w:hint="eastAsia" w:ascii="黑体" w:hAnsi="黑体" w:eastAsia="黑体" w:cs="黑体"/>
          <w:b w:val="0"/>
          <w:bCs w:val="0"/>
          <w:kern w:val="2"/>
          <w:sz w:val="32"/>
          <w:szCs w:val="32"/>
          <w:lang w:val="en-US" w:eastAsia="zh-CN" w:bidi="ar"/>
        </w:rPr>
        <w:t>第二十条</w:t>
      </w:r>
      <w:r>
        <w:rPr>
          <w:rFonts w:ascii="仿宋_GB2312" w:hAnsi="仿宋_GB2312" w:eastAsia="仿宋_GB2312" w:cs="仿宋_GB2312"/>
          <w:sz w:val="32"/>
        </w:rPr>
        <w:t>　</w:t>
      </w:r>
      <w:r>
        <w:rPr>
          <w:rFonts w:hint="eastAsia" w:ascii="仿宋_GB2312" w:hAnsi="仿宋_GB2312" w:eastAsia="仿宋_GB2312" w:cs="仿宋_GB2312"/>
          <w:b w:val="0"/>
          <w:bCs w:val="0"/>
          <w:kern w:val="2"/>
          <w:sz w:val="32"/>
          <w:szCs w:val="32"/>
          <w:lang w:val="en-US" w:eastAsia="zh-CN" w:bidi="ar"/>
        </w:rPr>
        <w:t>违反本条例规定的行为，有关法律、法规已有法律责任规定的，从其规定。</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32" w:firstLineChars="200"/>
        <w:jc w:val="both"/>
        <w:textAlignment w:val="auto"/>
        <w:outlineLvl w:val="9"/>
        <w:rPr>
          <w:rFonts w:hint="eastAsia" w:ascii="仿宋_GB2312" w:hAnsi="宋体" w:eastAsia="仿宋_GB2312" w:cs="Times New Roman"/>
          <w:kern w:val="2"/>
          <w:sz w:val="32"/>
          <w:szCs w:val="32"/>
          <w:lang w:val="en-US" w:eastAsia="zh-CN" w:bidi="ar"/>
        </w:rPr>
      </w:pPr>
      <w:r>
        <w:rPr>
          <w:rFonts w:hint="eastAsia" w:ascii="黑体" w:hAnsi="黑体" w:eastAsia="黑体" w:cs="黑体"/>
          <w:b w:val="0"/>
          <w:bCs w:val="0"/>
          <w:kern w:val="2"/>
          <w:sz w:val="32"/>
          <w:szCs w:val="32"/>
          <w:lang w:val="en-US" w:eastAsia="zh-CN" w:bidi="ar"/>
        </w:rPr>
        <w:t>第二十一条</w:t>
      </w:r>
      <w:r>
        <w:rPr>
          <w:rFonts w:ascii="仿宋_GB2312" w:hAnsi="仿宋_GB2312" w:eastAsia="仿宋_GB2312" w:cs="仿宋_GB2312"/>
          <w:sz w:val="32"/>
        </w:rPr>
        <w:t>　</w:t>
      </w:r>
      <w:r>
        <w:rPr>
          <w:rFonts w:hint="eastAsia" w:ascii="Times New Roman" w:hAnsi="Times New Roman" w:eastAsia="仿宋_GB2312" w:cs="仿宋_GB2312"/>
          <w:b w:val="0"/>
          <w:bCs w:val="0"/>
          <w:kern w:val="2"/>
          <w:sz w:val="32"/>
          <w:szCs w:val="32"/>
          <w:lang w:val="en-US" w:eastAsia="zh-CN" w:bidi="ar"/>
        </w:rPr>
        <w:t>本条例自2024年1月1日起施行。</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pP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微软雅黑"/>
    <w:panose1 w:val="00000000000000000000"/>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D9804AC"/>
    <w:rsid w:val="11E4354D"/>
    <w:rsid w:val="129770FC"/>
    <w:rsid w:val="1DB314EC"/>
    <w:rsid w:val="3DE63740"/>
    <w:rsid w:val="40BF750B"/>
    <w:rsid w:val="481351D2"/>
    <w:rsid w:val="53543565"/>
    <w:rsid w:val="558A062C"/>
    <w:rsid w:val="60CE0BDD"/>
    <w:rsid w:val="622F12CF"/>
    <w:rsid w:val="653E08AD"/>
    <w:rsid w:val="6B09248C"/>
    <w:rsid w:val="6B923718"/>
    <w:rsid w:val="71B9247E"/>
    <w:rsid w:val="7F47D4F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customStyle="1" w:styleId="2">
    <w:name w:val="_Style 1"/>
    <w:basedOn w:val="1"/>
    <w:qFormat/>
    <w:uiPriority w:val="34"/>
    <w:pPr>
      <w:ind w:firstLine="420" w:firstLineChars="200"/>
    </w:pPr>
  </w:style>
  <w:style w:type="paragraph" w:styleId="3">
    <w:name w:val="Body Text"/>
    <w:basedOn w:val="1"/>
    <w:qFormat/>
    <w:uiPriority w:val="0"/>
    <w:pPr>
      <w:spacing w:after="120"/>
    </w:pPr>
  </w:style>
  <w:style w:type="paragraph" w:styleId="4">
    <w:name w:val="Body Text Indent"/>
    <w:basedOn w:val="1"/>
    <w:qFormat/>
    <w:uiPriority w:val="0"/>
    <w:pPr>
      <w:spacing w:after="120" w:afterLines="0" w:afterAutospacing="0"/>
      <w:ind w:left="420" w:leftChars="200"/>
    </w:p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First Indent 2"/>
    <w:basedOn w:val="4"/>
    <w:qFormat/>
    <w:uiPriority w:val="0"/>
    <w:pPr>
      <w:ind w:firstLine="420" w:firstLineChars="200"/>
    </w:pPr>
  </w:style>
  <w:style w:type="character" w:styleId="10">
    <w:name w:val="FollowedHyperlink"/>
    <w:unhideWhenUsed/>
    <w:qFormat/>
    <w:uiPriority w:val="99"/>
    <w:rPr>
      <w:color w:val="954F72"/>
      <w:u w:val="single"/>
    </w:rPr>
  </w:style>
  <w:style w:type="character" w:styleId="11">
    <w:name w:val="Hyperlink"/>
    <w:autoRedefine/>
    <w:qFormat/>
    <w:uiPriority w:val="99"/>
    <w:rPr>
      <w:rFonts w:hint="default" w:ascii="ˎ̥" w:hAnsi="ˎ̥"/>
      <w:color w:val="0404B3"/>
      <w:sz w:val="18"/>
      <w:szCs w:val="18"/>
      <w:u w:val="none"/>
    </w:rPr>
  </w:style>
  <w:style w:type="character" w:customStyle="1" w:styleId="12">
    <w:name w:val="页脚 字符"/>
    <w:link w:val="5"/>
    <w:qFormat/>
    <w:uiPriority w:val="99"/>
    <w:rPr>
      <w:sz w:val="18"/>
      <w:szCs w:val="18"/>
    </w:rPr>
  </w:style>
  <w:style w:type="character" w:customStyle="1" w:styleId="13">
    <w:name w:val="页眉 字符"/>
    <w:link w:val="6"/>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1944</Words>
  <Characters>1955</Characters>
  <Lines>1</Lines>
  <Paragraphs>1</Paragraphs>
  <TotalTime>3</TotalTime>
  <ScaleCrop>false</ScaleCrop>
  <LinksUpToDate>false</LinksUpToDate>
  <CharactersWithSpaces>1977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2024-05-30T02:51:39Z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