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rPr>
          <w:rFonts w:hint="eastAsia" w:ascii="宋体" w:hAnsi="宋体" w:eastAsia="宋体" w:cs="宋体"/>
          <w:sz w:val="44"/>
          <w:szCs w:val="44"/>
        </w:rPr>
      </w:pPr>
      <w:r>
        <w:rPr>
          <w:rFonts w:hint="eastAsia" w:ascii="宋体" w:hAnsi="宋体" w:eastAsia="宋体" w:cs="宋体"/>
          <w:sz w:val="44"/>
          <w:szCs w:val="44"/>
        </w:rPr>
        <w:t>克孜勒苏柯尔克孜自治州</w:t>
      </w:r>
    </w:p>
    <w:p>
      <w:pPr>
        <w:jc w:val="center"/>
        <w:rPr>
          <w:rFonts w:hint="eastAsia" w:ascii="宋体" w:hAnsi="宋体" w:eastAsia="宋体" w:cs="宋体"/>
          <w:sz w:val="44"/>
          <w:szCs w:val="44"/>
        </w:rPr>
      </w:pPr>
      <w:r>
        <w:rPr>
          <w:rFonts w:hint="eastAsia" w:ascii="宋体" w:hAnsi="宋体" w:eastAsia="宋体" w:cs="宋体"/>
          <w:sz w:val="44"/>
          <w:szCs w:val="44"/>
        </w:rPr>
        <w:t>人民代表大会常务委员会关于</w:t>
      </w:r>
    </w:p>
    <w:p>
      <w:pPr>
        <w:jc w:val="center"/>
        <w:rPr>
          <w:rFonts w:hint="eastAsia" w:ascii="宋体" w:hAnsi="宋体" w:eastAsia="宋体" w:cs="宋体"/>
          <w:sz w:val="44"/>
          <w:szCs w:val="44"/>
        </w:rPr>
      </w:pPr>
      <w:r>
        <w:rPr>
          <w:rFonts w:hint="eastAsia" w:ascii="宋体" w:hAnsi="宋体" w:eastAsia="宋体" w:cs="宋体"/>
          <w:sz w:val="44"/>
          <w:szCs w:val="44"/>
        </w:rPr>
        <w:t>加强矿业权监督管理的决定</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rPr>
          <w:rFonts w:ascii="Times New Roman" w:hAnsi="Times New Roman" w:eastAsia="楷体_GB2312"/>
          <w:sz w:val="32"/>
        </w:rPr>
      </w:pPr>
      <w:r>
        <w:rPr>
          <w:rFonts w:ascii="Times New Roman" w:hAnsi="Times New Roman" w:eastAsia="楷体_GB2312"/>
          <w:sz w:val="32"/>
        </w:rPr>
        <w:t>（2023年6月26日克孜勒苏柯尔克孜自治州第十五届人民代表大会常务委员会第八次会议通过　2023年7月28日新疆维吾尔自治区第十四届人民代表大会常务</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jc w:val="center"/>
        <w:textAlignment w:val="auto"/>
      </w:pPr>
      <w:r>
        <w:rPr>
          <w:rFonts w:ascii="Times New Roman" w:hAnsi="Times New Roman" w:eastAsia="楷体_GB2312"/>
          <w:sz w:val="32"/>
        </w:rPr>
        <w:t>委员会第四次会议批准）</w:t>
      </w:r>
    </w:p>
    <w:p>
      <w:pPr>
        <w:spacing w:after="0" w:line="240" w:lineRule="auto"/>
      </w:pPr>
      <w:r>
        <w:rPr>
          <w:rFonts w:ascii="宋体" w:hAnsi="宋体" w:eastAsia="宋体"/>
          <w:sz w:val="32"/>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为规范矿业权监督管理，加强对矿产资源的保护和合理开发利用，发挥矿产资源优势，促进矿业经济高质量发展和生态文明建设，根据《中华人民共和国矿产资源法》《中华人民共和国环境保护法》等有关法律、法规，结合自治州实际，作出如下决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一、</w:t>
      </w:r>
      <w:r>
        <w:rPr>
          <w:rFonts w:eastAsia="仿宋_GB2312"/>
          <w:sz w:val="32"/>
        </w:rPr>
        <w:t>矿产资源开发利用应当坚持以习近平生态文明思想为指导，全面贯彻落实自治州党委资源为本、园区为用、口岸为要和新能源、新材料、新加工制造、新业态经济发展布局，坚持生态优先、绿色发展、规划先行、有序开采、综合治理的原则，实现经济效益、社会效益、生态效益相统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二、</w:t>
      </w:r>
      <w:r>
        <w:rPr>
          <w:rFonts w:eastAsia="仿宋_GB2312"/>
          <w:sz w:val="32"/>
        </w:rPr>
        <w:t>州、县（市）人民政府应当加强对矿产资源监督管理工作的领导，所需经费列入本级财政预算，统筹建立部门联动机制，强化信息共享，定期开展联合执法。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自然资源主管部门负责矿产资源的储量管理、矿业权管理、矿产资源保护和合理利用的监督管理。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生态环境部门负责规范矿山建设项目环境影响评价审批，强化矿山生态环境修复、污染防治工程的监督管理。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应急管理部门负责金属、非金属矿产资源勘探作业中钻探工程、坑探工程的安全生产和持有合法有效采矿许可证、安全生产许可证的矿山生产安全的监督管理。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林业和草原部门负责矿区征占用林地、草地、湿地和自然保护地的监督管理。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公安机关负责对依法移送的涉嫌非法采矿、破坏性采矿等刑事案件立案查处，涉矿民用爆炸物品购买、运输、爆破作业安全的监督管理。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水利部门负责矿区水土保持和地下水取、排、节水措施落实情况的监督管理。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其他有关部门依照各自的法定职责做好矿产资源保护和合理利用的监督管理。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乡（镇）人民政府、街道办事处应当协助做好相关工作。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三、</w:t>
      </w:r>
      <w:r>
        <w:rPr>
          <w:rFonts w:eastAsia="仿宋_GB2312"/>
          <w:sz w:val="32"/>
        </w:rPr>
        <w:t>州、县（市）人民政府自然资源主管部门应当加强对探矿权的管理。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探矿权人应当在勘查许可证有效期届满的三十日前，依法提交延续申请，自治州人民政府自然资源主管部门依法办理延续手续；自治州级以上的探矿权，向上一级主管部门出具延续的调查意见。勘查许可证每次延续时按规定缩减面积。因探矿权人原因逾期不办理延续登记手续的，勘查许可证自行作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达不到法定最低勘查投入的探矿权，由州、县（市）人民政府自然资源主管部门责令探矿权人限期一年整改，逾期不改正的，依法予以处理；自治州级以上权限的探矿权，配合上级自然资源主管部门做好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已完成勘查工作符合转采条件的探矿权，因探矿权人自身原因超过保留期限未转采的，自治州级权限的探矿权，不再保留；自治州级以上权限的探矿权，向上一级自然资源主管部门出具不予保留勘查许可证的调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（四）探矿权勘查信息公示存在弄虚作假行为的，依法予以处理。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四、</w:t>
      </w:r>
      <w:r>
        <w:rPr>
          <w:rFonts w:eastAsia="仿宋_GB2312"/>
          <w:sz w:val="32"/>
        </w:rPr>
        <w:t>州、县（市）人民政府自然资源主管部门应当加强对采矿权的管理。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一）新立采矿权，采矿权人领取采矿许可证后应当在规定期限内实施建设，因采矿权人原因逾期不实施建设的，按自动放弃采矿权处理，自治州权限的采矿权，注销采矿许可证；自治州级以上权限的采矿权，向上一级自然资源主管部门出具注销采矿许可证的调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二）延续正常生产的采矿权，根据储量、生产规模，自治州级权限的采矿权，采矿许可证有效期按大型十五年、中型十年、小型五年办理，服务年限不足相应年限的，按照实际服务年限办理；自治州级以上权限的采矿权，按上述年限出具延续的调查意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三）有效期内停产超过两年的采矿权，自治州权限的采矿权，每次延续有效期两年；自治州级以上权限的采矿权，向上一级自然资源主管部门出具延续两年采矿许可证的调查意见；转入正常生产后再按延续正常生产采矿权规定办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四）达不到国家及自治区最低生产规模标准的矿山企业，限期两年内完成整改，未整改完成的，由自治州人民政府决定关闭后，自治州级权限的采矿权，按规定依法注销采矿许可证；自治州级以上权限的采矿权，向上一级自然资源主管部门出具注销采矿许可证的调查意见。因不可抗力造成无法整改完成的，顺延不可抗力影响的时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（五）对超越批准的矿区范围采矿、乱采滥挖或者破坏性开采矿产资源、倒卖采矿权牟利、未经批准擅自转让采矿权、不接受监督检查、未取得安全生产许可证进行采矿等违法行为，应当依法予以处理。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五、</w:t>
      </w:r>
      <w:r>
        <w:rPr>
          <w:rFonts w:eastAsia="仿宋_GB2312"/>
          <w:sz w:val="32"/>
        </w:rPr>
        <w:t>以市场为主导，加大矿产资源整合开发力度，鼓励资源低效利用的矿山企业采取合作、买断、作价入股、兼并重组等方式进行矿业权整合、出让，最大限度发挥矿产资源开发利用效益。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六、</w:t>
      </w:r>
      <w:r>
        <w:rPr>
          <w:rFonts w:eastAsia="仿宋_GB2312"/>
          <w:sz w:val="32"/>
        </w:rPr>
        <w:t>鼓励矿山企业采用环境友好型开发利用方式、节约集约综合利用共伴生矿、低品位矿、尾矿资源，依照规定享受相应的优惠待遇。自治州范围内在建、拟建和生产矿山应按照绿色矿山要求进行规划、设计和建设。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七、</w:t>
      </w:r>
      <w:r>
        <w:rPr>
          <w:rFonts w:eastAsia="仿宋_GB2312"/>
          <w:sz w:val="32"/>
        </w:rPr>
        <w:t>州、县（市）人民政府自然资源主管部门应当加强矿山地质环境保护与土地复垦监督管理，定期开展巡查检查，督促矿山企业自觉履行义务，通过政策激励、市场化运作、科学化治理的模式，加快推进矿山生态修复。对应当编制矿山地质环境保护与土地复垦方案而未编制；扩大开采规模、变更矿区范围或者开采方式，未重新编制矿山地质环境保护与土地复垦方案；未按照矿山地质环境保护与土地复垦方案治理；未按照规定计提矿山地质环境治理恢复基金等违法行为，依法予以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八、</w:t>
      </w:r>
      <w:r>
        <w:rPr>
          <w:rFonts w:eastAsia="仿宋_GB2312"/>
          <w:sz w:val="32"/>
        </w:rPr>
        <w:t>州、县（市）人民政府应当营造市场化法治化国际化营商环境，依法保障矿业权人合法权益。加大矿业权出让、登记等各环节公开力度，提升矿产资源管理透明度，鼓励和保障各类市场主体公开公平公正参与竞争，激发市场活力；维护矿产资源正常勘查、开发秩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九、</w:t>
      </w:r>
      <w:r>
        <w:rPr>
          <w:rFonts w:eastAsia="仿宋_GB2312"/>
          <w:sz w:val="32"/>
        </w:rPr>
        <w:t>任何单位或者个人不得阻挠、破坏矿业权人依法勘查、开采，不得进入他人已取得矿业权的矿区范围内勘查、开采。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eastAsia="仿宋_GB2312"/>
          <w:sz w:val="32"/>
        </w:rPr>
        <w:t>任何单位和个人有权对违反矿产资源法律、法规，破坏生态环境行为进行举报。县（市）人民政府自然资源等主管部门应当对举报的内容进行核查，举报属实的应当给予奖励，并依法保护举报人的合法权益。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w:t>
      </w:r>
      <w:r>
        <w:rPr>
          <w:rFonts w:eastAsia="仿宋_GB2312"/>
          <w:sz w:val="32"/>
        </w:rPr>
        <w:t>州、县（市）人大常委会坚持定期听取和审议本级人民政府关于矿业权监督管理情况的报告，并综合运用执法检查、询问、质询、特定问题调查等法定监督方式，履行对矿业权监督管理的监督职责。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十一、</w:t>
      </w:r>
      <w:r>
        <w:rPr>
          <w:rFonts w:eastAsia="仿宋_GB2312"/>
          <w:sz w:val="32"/>
        </w:rPr>
        <w:t>负责矿业权监督管理的部门及其工作人员在矿业权监督管理工作中滥用职权、玩忽职守、徇私舞弊的，依法给予处分；构成犯罪的，依法追究刑事责任。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十二、</w:t>
      </w:r>
      <w:r>
        <w:rPr>
          <w:rFonts w:eastAsia="仿宋_GB2312"/>
          <w:sz w:val="32"/>
        </w:rPr>
        <w:t>违反本决定的规定，应当承担法律责任的其他行为，依照有关法律、法规执行。</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hint="eastAsia" w:ascii="黑体" w:hAnsi="黑体" w:eastAsia="黑体" w:cs="黑体"/>
          <w:sz w:val="32"/>
        </w:rPr>
        <w:t>十三、</w:t>
      </w:r>
      <w:r>
        <w:rPr>
          <w:rFonts w:eastAsia="仿宋_GB2312"/>
          <w:sz w:val="32"/>
        </w:rPr>
        <w:t>本决定自公布之日起施行。</w:t>
      </w:r>
    </w:p>
    <w:sectPr>
      <w:footerReference r:id="rId3" w:type="default"/>
      <w:footerReference r:id="rId4" w:type="even"/>
      <w:pgSz w:w="11906" w:h="16838"/>
      <w:pgMar w:top="2098" w:right="1474" w:bottom="1984" w:left="1588" w:header="851" w:footer="39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YxMzQyM2ZjZmQxZmViNWE5ZWY0YWMwZGE0ZmQxNTQ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42B153C"/>
    <w:rsid w:val="481351D2"/>
    <w:rsid w:val="53543565"/>
    <w:rsid w:val="558A062C"/>
    <w:rsid w:val="622F12CF"/>
    <w:rsid w:val="653E08AD"/>
    <w:rsid w:val="6FD82219"/>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2023-10-28T13:58:22Z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2052-12.1.0.15374</vt:lpwstr>
  </property>
</Properties>
</file>