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内蒙古自治区建设我国</w:t>
      </w:r>
    </w:p>
    <w:p>
      <w:pPr>
        <w:jc w:val="center"/>
      </w:pPr>
      <w:r>
        <w:rPr>
          <w:rFonts w:ascii="宋体" w:hAnsi="宋体" w:eastAsia="宋体"/>
          <w:sz w:val="44"/>
        </w:rPr>
        <w:t>北方重要生态安全屏障促进条例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（2023年7月31日内蒙古自治区第十四届人民代表大会常务委员会第五次会议通过）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为了建设我国北方重要生态安全屏障，促进自治区生态环境质量持续改善，以高品质生态环境支撑高质量发展，加快推进人与自然和谐共生的现代化，根据国家有关法律、法规，结合自治区实际，制定本条例。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自治区行政区域内建设我国北方重要生态安全屏障促进工作及相关活动，适用本条例。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设我国北方重要生态安全屏障，应当以习近平新时代中国特色社会主义思想为指导，坚持中国共产党的领导，牢牢把握党中央对内蒙古的战略定位，完整、准确、全面贯彻新发展理念，以铸牢中华民族共同体意识为主线，把生态文明建设融入经济建设、政治建设、文化建设、社会建设各方面和全过程，坚定不移走好以生态优先、绿色发展为导向的高质量发展新路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设我国北方重要生态安全屏障，应当尊重自然、顺应自然、保护自然，牢固树立和践行绿水青山就是金山银山的理念，坚持山水林田湖草沙一体化保护和系统治理，坚持节约优先、保护优先、自然恢复为主的方针，提升生态系统多样性、稳定性、持续性，构建全域生态安全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建设我国北方重要生态安全屏障，应当围绕推进美丽中国建设，统筹产业优化升级、污染治理、生态保护、应对气候变化，协同推进降碳、减污、扩绿、增长，坚持打好</w:t>
      </w:r>
      <w:r>
        <w:rPr>
          <w:rFonts w:hint="eastAsia"/>
          <w:sz w:val="32"/>
          <w:lang w:eastAsia="zh-CN"/>
        </w:rPr>
        <w:t>“</w:t>
      </w:r>
      <w:r>
        <w:rPr>
          <w:rFonts w:ascii="仿宋_GB2312" w:hAnsi="仿宋_GB2312" w:eastAsia="仿宋_GB2312"/>
          <w:sz w:val="32"/>
        </w:rPr>
        <w:t>三北</w:t>
      </w:r>
      <w:r>
        <w:rPr>
          <w:rFonts w:hint="eastAsia"/>
          <w:sz w:val="32"/>
          <w:lang w:eastAsia="zh-CN"/>
        </w:rPr>
        <w:t>”</w:t>
      </w:r>
      <w:r>
        <w:rPr>
          <w:rFonts w:ascii="仿宋_GB2312" w:hAnsi="仿宋_GB2312" w:eastAsia="仿宋_GB2312"/>
          <w:sz w:val="32"/>
        </w:rPr>
        <w:t>工程攻坚战，全面实行排污许可制，促进生态优先、节约集约、绿色低碳发展。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自治区建立建设我国北方重要生态安全屏障工作协调机制，设立工作协调机构，负责统筹协调建设我国北方重要生态安全屏障工作，研究解决重大问题和重点事项。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国家机关、人民团体、企业事业单位、社会组织和基层群众性自治组织应当按照各自职责，发挥自身优势，依法开展建设我国北方重要生态安全屏障工作。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各级人民政府负责本行政区域内建设我国北方重要生态安全屏障工作。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旗县级以上人民政府发展改革、财政、生态环境、水行政、自然资源、农牧、林业和草原、住房和城乡建设、工业和信息化、能源等部门在各自的职责范围内依法履行建设我国北方重要生态安全屏障职责。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旗县级以上人民政府应当依据国民经济和社会发展规划，坚持集中集约集聚的原则，组织编制本行政区域的国土空间规划，科学布局生产空间、生活空间、生态空间，严格落实国土空间用途管控要求。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涉及生态环境保护的各类专项规划应当与国土空间规划相衔接，增强生态环境保护的系统性和协调性。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建设我国北方重要生态安全屏障是全社会的共同责任。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自然人、法人和非法人组织应当遵守生态环境保护法律法规，增强生态环境保护意识，积极参与建设我国北方重要生态安全屏障活动，节约资源，反对浪费，自觉履行生态环境保护义务。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生态保护修复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宋体"/>
          <w:sz w:val="32"/>
        </w:rPr>
        <w:t>第一节　草　　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自治区严格落实基本草原保护制度。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基本草原是经依法确定实行特殊保护的具有草原生态功能和适用于畜牧业生产的天然草原和人工草地，包括生态保护红线内草原和生态保护红线外具有重要生态功能的草原。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本草原一经划定不得随意调整；确需调整的，仅限于调整范围，不得减少面积、降低质量、改变用途。符合开发利用条件的，应当实现占补平衡，在当地确定的基本草原储备区或者非基本草原补充同面积、同质量的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严格保护生态保护红线内草原，禁止随意改变生态保护红线内草原用途，禁止在生态保护红线内的草原上规划煤炭等矿产资源开发项目。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严格控制在生态保护红线外的基本草原上规划建设新的煤炭等矿产资源开发项目、扩大煤炭等矿产资源露天开采区域。为了保障国家能源安全确需开采的，由自治区人民政府依照有关规定审批。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具备井工开采条件的矿区，严格控制露天开采。在确保生产安全的前提下，支持具备条件的已设露天矿山转为井工开采。露天开采矿山已经规划的开采区域、一期填埋区域不得再扩大面积。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旗县级以上人民政府应当严格落实草原征占用审核审批制度，重点保障基础设施、公共事业和民生工程建设项目使用草原需求，严禁不符合主体功能定位的各类建设项目和高耗能、高排放项目占用草原。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严格控制矿产资源开发项目外排土场占用草原，严格控制矿区范围外布局的进场道路、工业广场、尾矿库等生产辅助设施占用草原。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退化、沙化草原生态修复治理应当立足草原原始生态景观和功能，聚焦退化放牧场、退化打草场和严重沙化草原，优先选用适宜的乡土草种，综合采取免耕补播、围栏封育、飞播种草、退耕还草等自然修复和人工干预措施，科学开展生态修复和系统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自治区严格落实草畜平衡和禁牧休牧制度，实施退耕还草、退牧还草工程。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旗县级以上人民政府应当根据所辖区域内草原生产能力的监测结果和自治区公布的不同类型草原适宜载畜量，结合当地实际，依法核定并公布本行政区域内的具体适宜载畜量和禁牧休牧范围、时限。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旗县级人民政府应当落实主体责任，加强对本行政区域内草畜平衡和禁牧休牧制度落实情况以及退耕还草、退牧还草工程实施情况的督查检查。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旗县级以上人民政府应当建立草原生态保护成效与补助奖励资金有效挂钩激励约束机制，完善落实草畜平衡和禁牧休牧、退耕还草、退牧还草补助奖励政策和多元化补偿机制，严格执行保护者补偿奖励、损害者赔偿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森　　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自治区严格落实天然林全面保护制度。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严格限制天然林采伐，加强大兴安岭、阴山山脉、贺兰山山脉等山区天然林保护，提高黄河、嫩江、西辽河、额尔古纳河、绰尔河等流域天然林植被覆盖度，保护和修复天然林资源，逐步提高天然林生态功能。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自治区对公益林实施严格保护。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旗县级以上人民政府林业主管部门应当有计划地组织公益林经营者对公益林中生态功能低下的疏林、残次林、低质低效林等实施改造，对中幼林实施森林抚育，提高公益林的质量和生态保护功能。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应当采取有效措施，落实林地总量控制制度，严格控制各类建设项目占用国家级公益林、天然林；各类建设项目占用其他林地不得超过本行政区域的占用林地总量控制指标，确保林地保有量不减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防护林体系建设应当与国土绿化、退耕还林、京津风沙源治理、</w:t>
      </w:r>
      <w:r>
        <w:rPr>
          <w:rFonts w:hint="eastAsia"/>
          <w:sz w:val="32"/>
          <w:lang w:eastAsia="zh-CN"/>
        </w:rPr>
        <w:t>“</w:t>
      </w:r>
      <w:r>
        <w:rPr>
          <w:rFonts w:ascii="仿宋_GB2312" w:hAnsi="仿宋_GB2312" w:eastAsia="仿宋_GB2312"/>
          <w:sz w:val="32"/>
        </w:rPr>
        <w:t>三北</w:t>
      </w:r>
      <w:r>
        <w:rPr>
          <w:rFonts w:hint="eastAsia"/>
          <w:sz w:val="32"/>
          <w:lang w:eastAsia="zh-CN"/>
        </w:rPr>
        <w:t>”</w:t>
      </w:r>
      <w:r>
        <w:rPr>
          <w:rFonts w:ascii="仿宋_GB2312" w:hAnsi="仿宋_GB2312" w:eastAsia="仿宋_GB2312"/>
          <w:sz w:val="32"/>
        </w:rPr>
        <w:t>防护林体系建设、土地沙化治理等重点区域生态保护和修复工程相结合，坚持生态保护优先，兼顾社会和经济效益，通过营造与改造相结合，因地制宜建设带、网、片相结合的高效防护林体系。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各级人民政府应当结合不同区域的森林生长情况开展有针对性的培育活动，在种子选择、苗木培育以及林间管理等环节对森林的生长发育进行调整和干预，优化森林结构，丰富森林资源，改善生态环境。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支持社会资本通过购买、租赁、置换、混合所有制等方式加强重点区位森林保护，实施森林质量精准提升工程。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河湖湿地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旗县级以上人民政府水行政主管部门应当根据本级水资源控制指标，严格控制河湖取水量，落实重点河湖生态流量保障目标，推进河湖湿地休养生息和健康发展。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水行政主管部门应当依托现有水利工程设施，以统筹防洪、供水、水环境、水生态为重点，以大江大河为基础，以重要湖泊水库为节点，以重大引水调水工程为骨干优化水网布局，推进河湖库渠等连通工程建设，加快构建自治区水网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旗县级以上人民政府应当加强灌区现代化建设，推进灌区智能化节水改造，利用信息化手段，合理配置水资源，优化灌区供水调度，提高灌溉用水效率，提升灌区精细化管理水平。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旗县级以上人民政府及其有关部门应当持续开展流域生态治理，在重要水源地建设以水涵养为主的林草植被，持续推进呼伦湖、岱海、乌梁素海、黑河以及察汗淖尔等河湖湿地生态综合治理，改善流域生态环境。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区实行河流跨行政区域断面交接制度。自治区人民政府生态环境、水行政主管部门应当合理设定河流交接断面水质水量等指标，完善河流跨行政区域断面监测设施，建立交接断面水质水量超标预警、超标排放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旗县级以上人民政府应当建立河湖生态补水长效机制，用好黄河、嫩江、绰尔河等外调水，在持续补水的基础上重点利用凌汛水为乌梁素海、岱海等重点河湖实施生态补水，提高河湖生态流量（水量），改善河湖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旗县级以上人民政府湿地保护主管部门应当实行湿地面积总量管控制度，严格湿地用途监管，建立湿地保护和生态修复机制，预防和控制人为活动对湿地及其生物多样性的不利影响，加强湿地污染防治。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对具备恢复条件的退化湿地、盐碱化湿地、富营养化湿地等，应当采取水体治理、土地整治、植被恢复、动物保护等措施，恢复湿地生态功能。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农　　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旗县级以上人民政府农牧主管部门应当制定农药、化肥、农用薄膜等农业投入品减量使用计划，推进农业控肥、控药、控水、控膜行动；指导、帮助从事农业生产经营的组织和个人开展黑土地保护、土地风蚀防控、盐碱沙荒地改良改造和综合利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从事农业生产经营的组织和个人应当实施保护性耕作，科学培育地力，合理使用化肥、微生物肥和土壤调理剂，采取秸秆和粪肥还田等措施，防止农田污染、破坏和地力衰退。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从事畜禽养殖和农产品加工的单位和个人，应当对畜禽粪污、废水和其他废弃物进行综合利用和无害化处理，达到国家和自治区标准后，方可排放。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旗县级以上人民政府农牧主管部门应当依法规范、限制使用抗生素等化学药品，采取畜禽集中养殖区域环境激素类化学品限制、替代、淘汰等措施，防止兽药、饲料添加剂中的有害成分污染农田生态环境。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鼓励和支持从事农业生产经营的组织和个人在农业生产过程中使用高效、低毒、低残留农药，减量使用植物生长调节剂、除草剂。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使用农药应当严格遵守国家和自治区农药安全使用的有关要求，按照规定的用药品种、用药剂量、用药次数、用药方法和安全间隔期施药，防止农药残留污染农田环境。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各级人民政府应当发展现代节水农业，完善节水工程技术体系，推进高标准农田建设，推广水肥一体化和高效节水灌溉技术，引导从事农业生产经营的组织和个人扩大低耗水、高耐旱作物种植比例。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从事农业生产经营的组织和个人应当使用符合国家标准的农用薄膜。鼓励农业生产者使用全生物降解农用薄膜。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从事农业生产经营的组织和个人应当对使用后的废弃农药容器、包装物、过期报废农药和不可降解农用薄膜予以回收，及时交至回收点，不得随意丢弃、掩埋或者焚烧。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旗县级以上人民政府应当设置相应的废弃物回收点，定期集中处理。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第五节　沙化荒漠化土地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土地沙化荒漠化综合防治应当坚持因地制宜、因害设防、综合防治、分类施策的原则，以防沙治沙为主攻方向，加强统筹协调，突出治理重点，坚持科学治沙，全面提升荒漠生态系统的质量和稳定性。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旗县级以上人民政府应当加强区域联防联治，实行沙漠边缘和腹地、上风口和下风口、沙源区和路径区统筹谋划，构建点线面结合的生态防护网络。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土地沙化荒漠化防治应当开展重点地区规模化防沙治沙，坚决打好黄河</w:t>
      </w:r>
      <w:r>
        <w:rPr>
          <w:rFonts w:hint="eastAsia"/>
          <w:sz w:val="32"/>
          <w:lang w:eastAsia="zh-CN"/>
        </w:rPr>
        <w:t>“</w:t>
      </w:r>
      <w:r>
        <w:rPr>
          <w:rFonts w:ascii="仿宋_GB2312" w:hAnsi="仿宋_GB2312" w:eastAsia="仿宋_GB2312"/>
          <w:sz w:val="32"/>
        </w:rPr>
        <w:t>几字弯</w:t>
      </w:r>
      <w:r>
        <w:rPr>
          <w:rFonts w:hint="eastAsia"/>
          <w:sz w:val="32"/>
          <w:lang w:eastAsia="zh-CN"/>
        </w:rPr>
        <w:t>”</w:t>
      </w:r>
      <w:r>
        <w:rPr>
          <w:rFonts w:ascii="仿宋_GB2312" w:hAnsi="仿宋_GB2312" w:eastAsia="仿宋_GB2312"/>
          <w:sz w:val="32"/>
        </w:rPr>
        <w:t>攻坚战、科尔沁和浑善达克两大沙地歼灭战，配合打好河西走廊—塔克拉玛干沙漠边缘阻击战，全面提升荒漠生态系统质量和稳定性。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土地沙化荒漠化防治应当坚持系统观念，统筹森林、草原、湿地、荒漠生态系统保护，以沙漠戈壁边缘及绿洲、流域、山系等为防治单元，加强治沙、治水、治山全要素协调和管理。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土地沙化荒漠化防治应当科学选择植被恢复模式，选用耐干旱、耐瘠薄、抗风沙的树种和草种，以雨养、节水为导向，坚持乔灌草相结合，合理配置林草植被类型和密度，营造防风固沙林网、林带及防风固沙沙漠锁边林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各级人民政府应当依据水土流失调查结果划定水土流失重点预防区和治理区，加强粗泥沙集中来源区坡耕地综合治理和淤地坝、拦沙工程建设，开展以小流域侵蚀沟等为重点的水土流失综合治理工作。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第六节　黄河流域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黄河流域范围内的各级人民政府应当加强沿黄生态带建设，在黄河干流和主要支流两侧及毗邻湿地，合理采用禁牧休牧、退耕还林、封山育林等措施，开展河道水域和岸线生态建设，重点对十大孔兑等沿黄河丘陵沟壑区实施综合治理，减少输入黄河的泥沙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黄河流域污染防治应当以水环境污染防治为重点，统筹推进工业污染、农业污染和城乡生活污染防治，推动污染联防联控、系统治理和源头治理。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黄河流域范围内的旗县级以上人民政府应当依法对所有沿黄固定排污源进行排污许可或者排污登记，建立覆盖所有排污口的监测体系。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黄河流域范围内的各级人民政府应当加强灌溉退水和农用地污染管控，在引黄灌区实施农田退水污染综合治理，科学建设生态沟道、污水净塘、人工湿地等形式的氮磷高效生态拦截净化工程，加强农田退水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黄河流域范围内的各级人民政府应当加强沿黄城镇污水收集配套管网建设，提升污水收集处理效率。强化城中村、老旧城区和城乡结合部污水截流、收集处理，流域内旗县级以上城市建成区实现污水全收集、全处理，推进污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不得将未经处理或者未经有效处理达标的工业废水直接排入城镇污水处理系统。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环境污染防治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各级人民政府应当对本行政区域的大气环境质量负责，实行重点大气污染物排放许可制度，使大气环境质量达到规定的标准并逐步改善。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及其有关部门应当及时更新重污染天气应急减排清单，实施重点行业企业绩效分级管理，加强挥发性有机物原辅材料替代，因地制宜推进清洁取暖，加强大气面源污染治理，通过开展高能耗企业技术改造和新能源替代等方式实现节能减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旗县级以上人民政府应当加强跨区域、跨部门的环境信息沟通，落实大气污染区域联防联控机制，推进呼包鄂、乌海及周边地区等重点区域生态环境综合治理，探索建设重点区域省际间污染防治协同机制。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水污染防治应当按照流域或者区域进行统一规划。旗县级以上人民政府应当根据水污染防治规划和上级人民政府批准的水污染物排放总量控制计划，制定实施本行政区域内的水污染物排放总量控制实施方案。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排放水污染物，不得超过国家和自治区规定的水污染物排放标准和重点水污染物排放总量控制指标。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各级人民政府应当建立城乡水体防止返黑返臭长效治理机制，加快开发区污水处理设施建设，完善城镇污水管网、垃圾处理等环境卫生设施，促进相关设施标准化建设和规范化管理。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加强农村牧区人居环境整治，建设农村牧区卫生厕所和生活垃圾收运处置体系，逐步提高建制镇生活污水处理设施的建成率和使用率。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旗县级以上人民政府及其有关部门应当加强对本行政区域内工业固体废物、生活垃圾、危险废物等固体废物污染环境防治工作的监督管理，按照职责分工，督促有关责任单位做好分类收集、综合利用和无害化处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城乡生活垃圾应当按照国家和自治区标准分类处理；具备条件需要采用焚烧、先进降解技术进行无害化处理的，不得集中填埋；必须集中填埋的生活垃圾应当做好防渗漏处理，防止污染环境。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旗县级以上人民政府及其有关部门应当强化污染地块环境准入和风险管控，定期监督指导在产企业开展土壤和地下水污染隐患排查，防止重金属和其他有毒有害物质污染土壤，保护和改善土壤环境质量。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旗县级以上人民政府及其有关部门根据职责分工指导、监督矿山企业加强矿产资源开发利用过程中的生态修复和污染防治，加大力度支持矿山充填开采技术推广应用，做好绿色矿山建设。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鼓励矿山企业采用保水开采技术，降低对区域原始水源等生态环境的破坏。矿山企业开采过程中产生的矿井水应当综合利用，优先用于矿区补充用水、周边地区生产生态用水。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采矿权人应当履行矿山生态环境保护和修复的主体责任，按照谁破坏谁治理、边开采边治理的原则，负责履行矿山生态环境治理义务。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盟行政公署、设区的市人民政府、旗县级人民政府负责治理历史无主遗留矿山的生态环境，并设立专项资金。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产业绿色低碳发展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自治区人民政府应当将产业绿色低碳发展纳入建设我国北方重要生态安全屏障总体布局，探索资源型地区转型发展新路径，推动产业结构、能源结构、交通运输结构等优化调整，淘汰落后和化解过剩产能，促进传统产业改造升级，加快节能降碳先进技术研发和推广应用，构建体现自治区特色优势的现代化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自治区人民政府有计划分步骤实施碳达峰行动，完善碳达峰碳中和政策体系，加快工业、农牧业、能源、建筑、交通运输、公共机构等重点领域绿色低碳转型，培育发展现代装备制造、新材料、生物医药、信息技术、节能环保等战略性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旗县级以上人民政府应当按照减量化、再利用、资源化原则推进循环经济发展，构建循环型工业、循环型农业、循环型服务业体系。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各类开发区、产业园区、高新技术园区管理机构应当按照循环经济发展要求统筹规划，加强园区循环化改造，鼓励园区企业进行废物交换利用、能量梯级利用、水的分类利用和循环使用，开展污染物集中处理。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各级人民政府应当大力发展现代高效农牧业，推动农牧业产业化规模化发展，推广新型种养模式和技术，构建产业布局合理、资源高效利用、产品优质安全、环境持续改善的现代生态农牧业体系。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自治区人民政府构建优质高效的服务业新体系，推动现代服务业与新型工业和现代农牧业深度融合。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鼓励各地发展生态旅游项目，建设生态休闲旅游目的地，创建生态旅游示范区，培育优质生态旅游品牌，促进生态旅游产业的发展。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各级人民政府应当推动绿色建筑发展，推进既有建筑节能改造，实行绿色装配式建筑技术与产品评价评估认定、绿色建材质量追溯制度，鼓励使用绿色建材、新型墙体材料、节能设备和节水器具。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旗县级以上人民政府应当加快再生资源回收体系建设，实行资源综合利用、回收、安全处置的全过程管理，加强废弃资源源头控制和回收网点建设，推进废弃资源再生利用规模化、再制造产业化。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旗县级以上人民政府在严格保护生态的前提下，应当建立生态建设与生态产品价值实现的良性循环机制，建立生态产品基础信息普查制度，探索建立生态产品价值评价考核机制，推进生态产业化和产业生态化，拓宽生态产品价值实现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科学合理开发利用林草沙资源，建立健全林草沙产业市场体系，加快推进特色优势产业示范基地建设，培育壮大林草沙龙头企业，提高林草沙产品精深加工水平，推动林草沙资源优势向经济优势转化。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自治区人民政府应当发挥生态资源优势，统筹规划全区森林草原湿地碳汇资源资产开发利用，强化森林草原湿地碳汇计量监测，加强碳汇基础性研究，增强生态系统固碳水平，巩固提升生态系统碳汇能力，推动碳汇交易和区域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盟行政公署、设区的市人民政府应当对林草碳汇资源资产进行统一管理，防止多头分散开发林草碳汇资产，充分实现林草碳汇价值。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资源节约集约利用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自治区实施全面节约战略，推进资源总量管理、科学配置、全面节约、循环利用，提高能源、水、粮食、土地、矿产、原材料等资源利用效率，加快资源利用方式的根本转变，促进经济社会发展全面绿色转型。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自治区实行国土空间用途管制制度，科学划定农业空间、生态空间、城镇空间、耕地和永久基本农田保护红线、生态保护红线、城镇开发边界，引导各类建设项目节约集约使用土地。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旗县级以上人民政府落实生态保护红线、环境质量底线、资源利用上线和生态环境准入清单，建立精细化生态环境分区管控体系。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旗县级以上人民政府应当落实生态保护红线主体责任，建立生态保护红线管控和激励约束机制，对生态保护红线依法实行严格保护，确保生态保护红线管控的生态空间生态功能不降低、面积不减少、性质不改变。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旗县级以上人民政府应当根据资源环境承载能力，合理规划城镇功能布局，严格城镇开发边界管控，强化对城镇建设发展的刚性约束作用，减少对自然生态的干扰和损害。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各级人民政府应当加强村庄规划管理，加强农村土地资源综合整治，加大占补平衡和增减挂钩项目建设力度，积极盘活农村闲置宅基地、</w:t>
      </w:r>
      <w:r>
        <w:rPr>
          <w:rFonts w:hint="eastAsia"/>
          <w:sz w:val="32"/>
          <w:lang w:eastAsia="zh-CN"/>
        </w:rPr>
        <w:t>“</w:t>
      </w:r>
      <w:r>
        <w:rPr>
          <w:rFonts w:eastAsia="仿宋_GB2312"/>
          <w:sz w:val="32"/>
        </w:rPr>
        <w:t>空心村</w:t>
      </w:r>
      <w:r>
        <w:rPr>
          <w:rFonts w:hint="eastAsia"/>
          <w:sz w:val="32"/>
          <w:lang w:eastAsia="zh-CN"/>
        </w:rPr>
        <w:t>”</w:t>
      </w:r>
      <w:r>
        <w:rPr>
          <w:rFonts w:eastAsia="仿宋_GB2312"/>
          <w:sz w:val="32"/>
        </w:rPr>
        <w:t>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旗县级以上人民政府应当按照国土空间总体规划，调整优化现有城镇用地内部结构，控制生产用地，保障生活用地，提高生态用地的比例，优化农林牧土地利用结构，促进土地节约集约利用。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旗县级以上人民政府自然资源主管部门应当会同有关部门，统筹开展开发区闲置土地、历史遗留工矿废弃地和自然灾害毁损土地的整治，提高土地利用效率和效益。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自治区实行最严格水资源管理制度，落实水资源开发利用总量控制、用水效率控制制度，实施深度节水控水行动，推进水权改革和水价综合改革。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水资源管理应当坚持以水定绿、以水定地、以水定人、以水定产，以降水耗为导向，优化水资源配置，发展节水产业，加快形成节水型生产生活方式。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旗县级以上人民政府应当合理制定、调整城镇供水价格，实行城镇居民阶梯水价制度和非居民用水超定额（计划）累进加价制度，促进和引导全社会节约用水。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自治区人民政府水行政主管部门应当会同有关部门，编制自治区行政区域地下水超采综合治理方案，经自治区人民政府批准后，报国务院水行政主管部门备案。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盟行政公署、设区的市人民政府、旗县级人民政府应当组织编制本行政区域地下水超采区治理方案，有力有序开展地下水超采（超载）区域综合治理。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旗县级以上人民政府应当加强海绵城市建设，充分发挥建筑、道路、广场和绿地、水系等生态系统对雨水的吸纳、蓄滞和净化作用，有效控制雨水径流，涵养城市地表和地下水资源，提高城市防洪、排涝、减灾能力，提升城市生态系统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自治区人民政府应当健全和完善节能管理制度，推动由能耗</w:t>
      </w:r>
      <w:r>
        <w:rPr>
          <w:rFonts w:hint="eastAsia"/>
          <w:sz w:val="32"/>
          <w:lang w:eastAsia="zh-CN"/>
        </w:rPr>
        <w:t>“</w:t>
      </w:r>
      <w:r>
        <w:rPr>
          <w:rFonts w:ascii="仿宋_GB2312" w:hAnsi="仿宋_GB2312" w:eastAsia="仿宋_GB2312"/>
          <w:sz w:val="32"/>
        </w:rPr>
        <w:t>双控</w:t>
      </w:r>
      <w:r>
        <w:rPr>
          <w:rFonts w:hint="eastAsia"/>
          <w:sz w:val="32"/>
          <w:lang w:eastAsia="zh-CN"/>
        </w:rPr>
        <w:t>”</w:t>
      </w:r>
      <w:r>
        <w:rPr>
          <w:rFonts w:ascii="仿宋_GB2312" w:hAnsi="仿宋_GB2312" w:eastAsia="仿宋_GB2312"/>
          <w:sz w:val="32"/>
        </w:rPr>
        <w:t>逐步转向碳排放</w:t>
      </w:r>
      <w:r>
        <w:rPr>
          <w:rFonts w:hint="eastAsia"/>
          <w:sz w:val="32"/>
          <w:lang w:eastAsia="zh-CN"/>
        </w:rPr>
        <w:t>“</w:t>
      </w:r>
      <w:r>
        <w:rPr>
          <w:rFonts w:ascii="仿宋_GB2312" w:hAnsi="仿宋_GB2312" w:eastAsia="仿宋_GB2312"/>
          <w:sz w:val="32"/>
        </w:rPr>
        <w:t>双控</w:t>
      </w:r>
      <w:r>
        <w:rPr>
          <w:rFonts w:hint="eastAsia"/>
          <w:sz w:val="32"/>
          <w:lang w:eastAsia="zh-CN"/>
        </w:rPr>
        <w:t>”</w:t>
      </w:r>
      <w:r>
        <w:rPr>
          <w:rFonts w:ascii="仿宋_GB2312" w:hAnsi="仿宋_GB2312" w:eastAsia="仿宋_GB2312"/>
          <w:sz w:val="32"/>
        </w:rPr>
        <w:t>，采用先进技术、工艺和设备，实施高耗能、高排放、低水平项目绿色化改造，推进重点行业单位产品单耗达到国家重点领域能效标杆水平或者能耗限额标准先进值，不断提高能源资源利用效率。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旗县级以上人民政府应当支持各类市场主体开发利用水能、风能、太阳能、地热能和生物能等可再生清洁能源，推动构建以清洁低碳能源为主体的能源供应体系。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生态文明培育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各级人民政府应当构建以社会主义核心价值观为基础、以生态文明共识为准则的生态文明体系，促进生态文明知识和生态文化理念的传播普及，培育节约资源和保护环境的生产经营模式和生活消费方式。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各级人民政府应当处理好建设生态安全屏障与人民群众生产、生活的关系，保障人民群众合法权益和生命健康安全，提升人民群众在建设我国北方重要生态安全屏障中的获得感、幸福感、安全感。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旗县级以上人民政府及其有关部门应当建立和完善生态环境矛盾纠纷多元化解决机制，积极预防和妥善化解经济社会发展和生态环境保护矛盾纠纷。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各级人民政府应当大力发展绿色低碳交通体系，优化城乡立体化、智能化交通网络，保障与完善公共自行车和大众公交服务体系，鼓励优先购买和使用清洁能源车辆，推动公共领域纯电动汽车示范应用，鼓励低碳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旗县级以上人民政府应当采取措施推进绿色生产，加强对绿色产品标准、认证、标识的监管，鼓励生产者简化产品包装，避免过度包装造成的资源浪费和环境污染。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国家机关、事业单位和社会团体在进行政府采购时应当按照国家有关规定优先采购或者强制采购节能产品、环境标志产品。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自治区倡导文明、绿色的生活方式和消费模式，引导居民参与节能减排、垃圾分类等活动，鼓励和支持消费者购买和使用节能、节水、再生产品，减少一次性产品和不可降解材料使用，加快推广简约适度、绿色低碳、文明健康的生活和消费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组织或者参加生态旅游、户外运动等活动，应当符合生态环境保护的要求，遵守旅游安全规定和文明行为规范，不得破坏自然景观和原生植被，不得捕获或者采集野生动植物。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生态旅游、户外运动等产生的垃圾应当自行带走或者在指定地点投放，禁止随意倾倒、抛撒。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各级各类学校、教育培训机构应当把建设我国北方重要生态安全屏障纳入教育、培训内容，编印、制作具有地方特色的建设我国北方重要生态安全屏障读本、多媒体资料。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广播、电视、报刊和网络等媒体应当加强建设生态安全屏障的宣传和舆论引导，开展形式多样的公益性宣传。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旗县级以上人民政府应当将建设我国北方重要生态安全屏障工作纳入本级国民经济和社会发展规划，所需经费列入本级财政预算。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自治区人民政府财政部门应当根据各地区的自然资源禀赋、经济社会发展状况等实际情况，制定差别化政策，加大对生态建设和环境保护任务重的地区的转移支付力度，推进财权和事权相统一。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社会资本参与生态保护和修复，规范有序推进政府和社会资本合作模式，用好结构性货币政策工具，促进绿色金融发展，建立合理的、多元化的贷款利用、债券发行机制，推进排污权、用水权、用能权、碳排放权市场化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自治区人民政府应当建立跨地区、跨流域、覆盖重点领域和重点区域的生态保护补偿机制，科学制定森林、草原、河湖湿地、水土保持等生态保护补偿标准。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旗县级以上人民政府应当完善生态保护区域财政支持机制，加大对限制开发区、禁止开发区特别是重点生态功能区的财政支持，加大对生态红线管控区域的生态保护补偿。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自治区编制自然保护地发展规划，对自然保护地实行统一设置、分级管理、分区管控，建立以国家公园为主体的自然保护地体系。生态功能重要、生态系统脆弱、自然生态保护空缺的区域应当纳入自然保护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各级人民政府应当在科学合理保护的前提下，按照系统规划、分区管控、精准监管、动态监测的原则，在自然保护地建立自然教育体验场所和平台，为全社会提供科研、教育、体验、游憩等公共服务。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旗县级以上人民政府有关部门应当健全生物多样性保护协调工作机制，实施生物多样性保护行动计划，建立生物多样性数据库，加强对珍稀濒危野生动植物及栖息地的保护，定期开展区域生物多样性调查、监测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旗县级以上人民政府应当建立生态环境监测机制，定期对大气环境、水环境、土壤环境、草原资源系统、森林资源系统、河湖湿地生态系统等进行监测。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旗县级以上人民政府有关部门应当按照国家和自治区有关规定，依法向社会公开自然资源调查、生态环境质量状况、执法管理等方面的数据信息，并将信息汇聚到大数据管理平台，实现信息共享。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各级人民政府应当在森林草原火灾高危区、高风险区实施防火灭火综合治理，强化人防物防技防相融合，建立森林草原防火联防机制，推进森林草原火灾预警监测、火灾预防、应急扑救等基础设施和能力建设。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旗县级以上人民政府有关部门应当加强草原森林鼠害、病虫害等有害生物防治工作，建立健全有害生物灾害监测预警、区域性防治物资储备库、监测防治站点和覆盖全区的有害生物灾害空地立体监控系统，扎实推进绿色防治、联防联治和社会化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强化生物安全管理，加强外来物种入侵机理、扩散途径、应对措施和开发利用研究，开展调查、监测、预警、控制、评估、清除、生态修复等工作，防止外来物种侵害。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旗县级以上人民政府有关部门应当在防沙治沙、植被修护、城市绿化等生态治理过程中避免种植和及时清除致敏率高的树种和草种，科学开展替代性种植，降低人居生活环境花粉量浓度，减轻人群过敏反应。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各级人民政府应当全面推行林草长制和河湖长制，建立健全管护工作联席会议机制，落实管护主体、管护责任和经费保障。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各级林草长、河湖长应当组织做好生态环境保护和环境污染治理及相关的日常巡查、执法监管、监督考核等工作。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自治区人民政府应当加强教育科技人才基础性支撑体系建设，强化建设我国北方重要生态安全屏障技术研发与集成示范，促进科技成果转化应用；加强草学、水土保持与荒漠化防治等学科专业建设，创新人才培养、引进和发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推动数字经济与生态环境保护深度融合，发挥大数据在建设我国北方重要生态安全屏障中的监测、保护、服务、预测等作用，提升政府环境保护服务水平和监管能力。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自治区应当充分利用现有多双边合作机制，加强与周边国家生态环境保护领域的政策对接和信息沟通，建立交往和对话机制，推动共同制定实施区域生态环境保护战略与行动计划，共同参与生态环境保护合作。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旗县级以上人民政府应当建立科学有效的生态环境风险防范体系和突发环境事件应急机制。环境受到污染，可能影响公众健康和环境安全时，依法及时公布预警信息，启动应急预案。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因生态灾害、突发事件导致生态环境受到破坏或者人民群众生产生活受到影响的，各级人民政府应当及时启动救灾救济机制，并开展生态修复。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自治区人民政府应当根据主体功能定位差异，完善高质量发展综合绩效评价考核制度，构建以生态优先、绿色发展为导向的差异化考核指标体系，将生态环境保护目标完成情况纳入各级人民政府及其有关部门的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旗县级以上人民政府应当落实生态环境损害责任终身追究制，建立和完善领导干部自然资源资产责任审计制度，对依法属于审计监督对象、负有自然资源资产管理和生态环境保护责任的主要领导干部进行自然资源资产离任（任中）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有立法权的各级人民代表大会及其常务委员会应当加强法治保障，统筹推进生态文明建设领域的立法修法工作。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旗县级以上人民代表大会常务委员会应当通过听取和审议专项工作报告、组织执法检查等方式，加强对建设我国北方重要生态安全屏障工作的监督。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人民检察院应当督促、支持法律规定的其他国家机关对破坏生态环境和自然资源行为提起损害赔偿诉讼。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人民检察院依法提起环境民事公益诉讼，可以提起惩罚性赔偿诉讼请求。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旗县级以上人民政府对在建设我国北方重要生态安全屏障工作中做出突出贡献的组织和个人，按照国家和自治区有关规定给予表彰和奖励。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在建设我国北方重要生态安全屏障工作中玩忽职守、滥用职权、徇私舞弊的，对直接负责的主管人员和其他直接责任人员依法给予处分；构成犯罪的，依法追究刑事责任。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53008E"/>
    <w:rsid w:val="16DC7373"/>
    <w:rsid w:val="29934597"/>
    <w:rsid w:val="344634A2"/>
    <w:rsid w:val="3DE63740"/>
    <w:rsid w:val="481351D2"/>
    <w:rsid w:val="53543565"/>
    <w:rsid w:val="558A062C"/>
    <w:rsid w:val="61C51E93"/>
    <w:rsid w:val="622F12CF"/>
    <w:rsid w:val="653E08AD"/>
    <w:rsid w:val="71B9247E"/>
    <w:rsid w:val="7F332AC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2024-01-22T07:55:11Z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