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7E9CA">
      <w:pPr>
        <w:rPr>
          <w:rFonts w:hint="eastAsia" w:ascii="宋体" w:hAnsi="宋体" w:eastAsia="宋体" w:cs="宋体"/>
          <w:sz w:val="32"/>
        </w:rPr>
      </w:pPr>
    </w:p>
    <w:p w14:paraId="599A381F">
      <w:pPr>
        <w:spacing w:line="240" w:lineRule="auto"/>
      </w:pPr>
      <w:r>
        <w:rPr>
          <w:rFonts w:ascii="宋体" w:hAnsi="宋体" w:eastAsia="宋体"/>
          <w:sz w:val="32"/>
        </w:rPr>
        <w:t>​</w:t>
      </w:r>
    </w:p>
    <w:p w14:paraId="32100ED0">
      <w:pPr>
        <w:jc w:val="center"/>
      </w:pPr>
      <w:r>
        <w:rPr>
          <w:rFonts w:ascii="宋体" w:hAnsi="宋体" w:eastAsia="宋体"/>
          <w:sz w:val="44"/>
        </w:rPr>
        <w:t>四川天府新区条例</w:t>
      </w:r>
    </w:p>
    <w:p w14:paraId="1B350C56">
      <w:pPr>
        <w:spacing w:line="240" w:lineRule="auto"/>
      </w:pPr>
      <w:r>
        <w:rPr>
          <w:rFonts w:ascii="宋体" w:hAnsi="宋体" w:eastAsia="宋体"/>
          <w:sz w:val="32"/>
        </w:rPr>
        <w:t>​</w:t>
      </w:r>
    </w:p>
    <w:p w14:paraId="64CC0FB0">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日四川省第十四届人民代表大会常务委员会第五次会议通过）</w:t>
      </w:r>
    </w:p>
    <w:p w14:paraId="53757F77">
      <w:pPr>
        <w:spacing w:line="240" w:lineRule="auto"/>
      </w:pPr>
      <w:r>
        <w:rPr>
          <w:rFonts w:ascii="宋体" w:hAnsi="宋体" w:eastAsia="宋体"/>
          <w:sz w:val="32"/>
        </w:rPr>
        <w:t>​</w:t>
      </w:r>
    </w:p>
    <w:p w14:paraId="39CD21E6">
      <w:pPr>
        <w:spacing w:before="0" w:after="0" w:line="240" w:lineRule="auto"/>
        <w:jc w:val="center"/>
      </w:pPr>
      <w:r>
        <w:rPr>
          <w:rFonts w:ascii="楷体_GB2312" w:hAnsi="楷体_GB2312" w:eastAsia="楷体_GB2312"/>
          <w:sz w:val="32"/>
        </w:rPr>
        <w:t>目　　录</w:t>
      </w:r>
    </w:p>
    <w:p w14:paraId="4F5AE5C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4903F91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管理体制</w:t>
      </w:r>
    </w:p>
    <w:p w14:paraId="64F30B5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规划建设</w:t>
      </w:r>
    </w:p>
    <w:p w14:paraId="0FC098A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科技创新</w:t>
      </w:r>
    </w:p>
    <w:p w14:paraId="6103A4A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产业发展</w:t>
      </w:r>
    </w:p>
    <w:p w14:paraId="1819BC7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开放合作</w:t>
      </w:r>
    </w:p>
    <w:p w14:paraId="43950E9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生态宜居</w:t>
      </w:r>
    </w:p>
    <w:p w14:paraId="6CBFD70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服务保障</w:t>
      </w:r>
    </w:p>
    <w:p w14:paraId="6FF13EF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14:paraId="2E54AFDF">
      <w:pPr>
        <w:spacing w:line="240" w:lineRule="auto"/>
      </w:pPr>
      <w:r>
        <w:rPr>
          <w:rFonts w:ascii="宋体" w:hAnsi="宋体" w:eastAsia="宋体"/>
          <w:sz w:val="32"/>
        </w:rPr>
        <w:t>​</w:t>
      </w:r>
    </w:p>
    <w:p w14:paraId="1B91BCA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3BFA3A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AA3D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把四川天府新区（以下简称天府新区）建设成为新时代公园城市典范，保障和促进天府新区经济社会高质量发展，实现国家赋予天府新区的功能定位和发展目标，根据法律、行政法规和有关规定，结合四川省实际，制定本条例。</w:t>
      </w:r>
    </w:p>
    <w:p w14:paraId="1A9E73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本条例适用于天府新区的规划、建设、管理、服务等活动。</w:t>
      </w:r>
    </w:p>
    <w:p w14:paraId="504BBE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天府新区包括成都市、眉山市的部分区域，分为直管区和非直管区。</w:t>
      </w:r>
    </w:p>
    <w:p w14:paraId="5C11C8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直管区包括成都市华阳、万安、正兴、兴隆、煎茶、新兴、永兴、籍田、太平九个街道。</w:t>
      </w:r>
    </w:p>
    <w:p w14:paraId="0FF97D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非直管区指在天府新区规划范围内，除直管区之外的其他区域。</w:t>
      </w:r>
    </w:p>
    <w:p w14:paraId="6E6BFD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天府新区应当以习近平新时代中国特色社会主义思想为指导，完整准确全面贯彻新发展理念，以成渝地区双城经济圈建设为战略引领，充分发挥</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建设和长江经济带发展重要节点作用，突出公园城市特点，高标准规划、高水平建设、高质量发展、高效能治理，建设成都未来城市新中心，打造新的增长极，建设内陆开放经济高地，在以中国式现代化引领四川现代化建设中探索新路。</w:t>
      </w:r>
    </w:p>
    <w:p w14:paraId="48D7FFB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省人民政府应当加强对天府新区建设发展的组织领导，统筹协调解决建设发展中的重大问题和重要事项。</w:t>
      </w:r>
    </w:p>
    <w:p w14:paraId="3B0561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省人民政府赋予天府新区自主发展、自主改革和自主创新的权限，争取中央和国家有关部委对天府新区建设发展的支持。</w:t>
      </w:r>
    </w:p>
    <w:p w14:paraId="4584B8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省人民政府有关部门和成都市人民政府、眉山市人民政府应当对天府新区在功能集聚、财政金融、规划建设、产业发展、用地保障等方面给予支持。</w:t>
      </w:r>
    </w:p>
    <w:p w14:paraId="7F07BD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天府新区应当承担起国家和省重大改革创新试点示范责任，在创新、协调、绿色、开放、共享和安全等方面先行先试、系统集成改革，形成可复制可推广的创新成果。</w:t>
      </w:r>
    </w:p>
    <w:p w14:paraId="53D4A42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四川省、成都市、眉山市应当建立与天府新区高质量发展要求相适应，有利于鼓励改革创新的考核、评价、激励和容错纠错机制。</w:t>
      </w:r>
    </w:p>
    <w:p w14:paraId="26B94E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F6CF79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管理体制</w:t>
      </w:r>
    </w:p>
    <w:p w14:paraId="545706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1915F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四川天府新区管理委员会（以下简称天府新区管委会）是省人民政府的派出机构，委托成都市管理，行使省人民政府和成都市人民政府依法赋予的经济社会管理权限，统筹天府新区改革发展和体制机制创新，负责天府新区规划，履行直管区的经济、社会、文化、生态文明建设等行政管理职能。</w:t>
      </w:r>
    </w:p>
    <w:p w14:paraId="24AFFF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天府新区管委会按照机构编制相关规定和发展需要设置工作机构。天府新区管委会及其工作机构在权限范围内制定相关行政规范性文件，履行相应行政审批、行政处罚等行政管理权。</w:t>
      </w:r>
    </w:p>
    <w:p w14:paraId="4D1843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直管区内的街道办事处按照天府新区管委会的部署，承办公共服务、公共管理和公共安全等工作，依法履行综合管理、统筹协调、应急处置和行政执法等职责。</w:t>
      </w:r>
    </w:p>
    <w:p w14:paraId="2FBF65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成都东部新区管委会、成都高新区管委会、龙泉驿区人民政府、双流区人民政府、新津区人民政府和天府新区眉山管委会按照各自管理范围负责非直管区的经济社会管理。</w:t>
      </w:r>
    </w:p>
    <w:p w14:paraId="787EF83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省人民政府、成都市人民政府、眉山市人民政府及其有关部门在天府新区设立的直属机构和派出机构，按照各自职责依法行使相应的行政管理职权，接受天府新区管委会统筹协调。</w:t>
      </w:r>
    </w:p>
    <w:p w14:paraId="332D514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天府新区管委会应当优化机构编制资源配置，可以按照规定创新符合实际的选人用人机制、薪酬激励机制和人才交流机制，实施分类管理等人事管理制度。</w:t>
      </w:r>
    </w:p>
    <w:p w14:paraId="166E55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已经以法规、规章形式调整下放至成都市人民政府的省级经济社会管理权限以及对应的市级经济社会管理权限，在直管区范围内，由天府新区管委会直接承接行使。</w:t>
      </w:r>
    </w:p>
    <w:p w14:paraId="0B738B5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省人民政府、成都市人民政府应当根据直管区发展需要，将天府新区管委会履行职能所需要的省级、市级相关经济社会管理权限以清单形式依法赋予天府新区管委会并向社会公布。</w:t>
      </w:r>
    </w:p>
    <w:p w14:paraId="2B7701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天府新区管委会应当编制权力清单向社会公布，并根据发展需要进行动态调整。</w:t>
      </w:r>
    </w:p>
    <w:p w14:paraId="053117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经省人民政府、成都市人民政府、眉山市人民政府的批准，非直管区可以参照直管区依法行使相关经济社会管理权限。</w:t>
      </w:r>
    </w:p>
    <w:p w14:paraId="303B5BC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87FCFE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规划建设</w:t>
      </w:r>
    </w:p>
    <w:p w14:paraId="397FE0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5A2B3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天府新区规划建设应当根据国家和省确定的发展规划与功能定位，严格保护耕地和永久基本农田，严守生态保护红线，严格控制城镇开发边界，构建集约高效的国土空间开发保护格局，建设山水人城和谐相融的公园城市。</w:t>
      </w:r>
    </w:p>
    <w:p w14:paraId="5EA149E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天府新区管委会应当完善规划管理和决策机制，履行组织协调和规划审查职能，会同非直管区人民政府（管委会）编制天府新区经济社会发展规划、国土空间规划及特定区域的有关专项规划，并按照规定程序报批。</w:t>
      </w:r>
    </w:p>
    <w:p w14:paraId="075331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非直管区人民政府（管委会）的经济社会发展规划、国土空间规划以及相关专项规划，应当与天府新区有关规划相衔接。</w:t>
      </w:r>
    </w:p>
    <w:p w14:paraId="1A7B27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直管区范围内的控制性详细规划由天府新区有关部门组织编制，报天府新区管委会批准。</w:t>
      </w:r>
    </w:p>
    <w:p w14:paraId="5B9DA2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已经批准的天府新区相关规划，任何单位和个人不得擅自修改。确需修改的，按照法定程序报请原审批机关批准。</w:t>
      </w:r>
    </w:p>
    <w:p w14:paraId="0ECF075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天府新区应当建立健全公园城市规划建设管理标准体系，围绕智慧城市、海绵城市、韧性城市、低碳城市等建设和地下空间综合利用、生态修复、绿色建筑等重点工作，完善相关标准规范。</w:t>
      </w:r>
    </w:p>
    <w:p w14:paraId="3C67EA8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省人民政府、成都市人民政府、眉山市人民政府应当建立健全天府新区重大项目用地保障机制。</w:t>
      </w:r>
    </w:p>
    <w:p w14:paraId="3381E8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对国家重大项目以及能源、交通运输、水利等单独选址的省重点项目用地，所需年度计划指标按照规定全额保障；其他项目所需土地年度计划指标由所在市人民政府重点支持、优先保障。</w:t>
      </w:r>
    </w:p>
    <w:p w14:paraId="21D22C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对建设占用所需耕地占补平衡指标，在确保耕地保有量目标任务的前提下，可在全省范围内实行易地占补平衡；所需用地占用林地指标，由省林草主管部门在全省范围内统筹协调。</w:t>
      </w:r>
    </w:p>
    <w:p w14:paraId="6AD344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省人民政府、成都市人民政府、眉山市人民政府有关部门应当支持天府新区依法依规探索生态用地改革创新、混合用地改革试点。</w:t>
      </w:r>
    </w:p>
    <w:p w14:paraId="460B307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天府新区管委会依法负责直管区的土地征收和国有土地上房屋征收与补偿工作。</w:t>
      </w:r>
    </w:p>
    <w:p w14:paraId="4C9476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天府新区管委会依法负责直管区的国有建设用地使用权划拨、出让、租赁等土地供应管理工作，以及土地储备、闲置土地处置等工作。</w:t>
      </w:r>
    </w:p>
    <w:p w14:paraId="7C6C91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成都市人民政府、眉山市人民政府应当支持天府新区加快推动铁路、高速公路、市域快速路等重大交通项目建设，加快形成城市轨道交通、城市公交、慢行系统三网融合的城市低碳公共交通体系，构建综合立体交通格局，提升国际门户枢纽功能。</w:t>
      </w:r>
    </w:p>
    <w:p w14:paraId="6B848F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1C2EEA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科技创新</w:t>
      </w:r>
    </w:p>
    <w:p w14:paraId="07DA0F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73FC2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省人民政府、成都市人民政府应当支持天府新区以成渝（兴隆湖）综合性科学中心、西部（成都）科学城为核心承载，打造国家战略科技力量重要承载区和创新要素加速汇聚地，形成服务战略大后方建设的创新策源能力，为建设具有全国影响力的科技创新中心提供核心支撑。</w:t>
      </w:r>
    </w:p>
    <w:p w14:paraId="00628E0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天府新区应当推动实验室体系、重大科技基础设施、科教基础设施、高等院校、科研院所、科技型领军企业的布局建设，鼓励基础研究、应用基础研究、科技成果转化等科技创新活动。</w:t>
      </w:r>
    </w:p>
    <w:p w14:paraId="5B6C70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天府新区应当建立以企业为主体、市场为导向、产学研用深度融合的技术创新体系，推动校院企地协同创新等项目建设，鼓励企业、高等院校、科研院所等创新主体共建研发中心和联合实验室，联合开展关键核心技术攻关。</w:t>
      </w:r>
    </w:p>
    <w:p w14:paraId="5365A0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支持企业、高等院校、科研院所等创新主体建设国家产业创新中心、技术创新中心、制造业创新中心等重大平台，开展面向行业共性问题的应用基础研究和产业化应用。</w:t>
      </w:r>
    </w:p>
    <w:p w14:paraId="3D47F94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天府新区应当加强知识产权保护，建立健全科技成果转移转化体系，促进技术交易市场、创新创业载体和科技服务机构培育发展，加快科技成果转移转化。</w:t>
      </w:r>
    </w:p>
    <w:p w14:paraId="45E8B6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省人民政府、成都市人民政府、眉山市人民政府应当加大对天府新区科技创新的财政支持力度，建立长效稳定的省、市、区共同投入保障机制，并积极争取国家有关方面的支持。</w:t>
      </w:r>
    </w:p>
    <w:p w14:paraId="76EB83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鼓励企业、高等院校、科研院所及社会力量增加科技创新经费投入，支持市场主体在天府新区发起设立投资科技型企业的科技成果转化基金和产业发展基金。</w:t>
      </w:r>
    </w:p>
    <w:p w14:paraId="0EBFAD5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天府新区应当建立健全协同创新机制，推进成渝（兴隆湖）综合性科学中心与成渝综合性科学中心（金凤），西部（成都）科学城与中国（绵阳）科技城、西部（重庆）科学城、重庆两江协同创新区等区域发展科技创新合作，推动重大科技基础设施、科教基础设施、科技创新平台、大型科研仪器等创新资源开放共享。</w:t>
      </w:r>
    </w:p>
    <w:p w14:paraId="419275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B65B00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产业发展</w:t>
      </w:r>
    </w:p>
    <w:p w14:paraId="2BE57C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691AEE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天府新区应当坚持公园城市产城融合、职住平衡、宜居宜业的发展导向，合理规划产业空间布局，探索构建灵活高效的产业空间用地保障体系。</w:t>
      </w:r>
    </w:p>
    <w:p w14:paraId="02A231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天府新区应当加快构建现代化产业体系，集聚发展战略性新兴产业、现代制造业以及高端服务业，建设现代产业集群。</w:t>
      </w:r>
    </w:p>
    <w:p w14:paraId="23E9E4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眉山市人民政府及其有关部门应当支持省级、市级重大产业项目优先在天府新区布局，支持天府新区围绕创新链、产业链、资金链、人才链融合，建立健全经济数据和利益分享机制，推动产业协同发展，引领和带动区域经济高质量发展。</w:t>
      </w:r>
    </w:p>
    <w:p w14:paraId="5F468E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天府新区应当完善产业准入、退出机制，严格产业准入标准，建立重大产业项目评估论证机制。</w:t>
      </w:r>
    </w:p>
    <w:p w14:paraId="00823F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省市国有企业发起设立的法人金融机构、股权投资基金优先落户天府新区，支持符合条件的市场主体发行银行间市场债务融资工具、企业债券、公司债券和在境外发行债券，加快构建与内陆金融开放服务体系相匹配的全牌照金融产业生态，助力成渝共建西部金融中心。</w:t>
      </w:r>
    </w:p>
    <w:p w14:paraId="2FB761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天府新区应当全面实施乡村振兴战略，创新城乡融合发展体制机制和政策体系，探索创新农村集体建设用地管理体制，打造农业科技重大创新平台，构建都市现代农业体系，建设宜居宜业和美乡村。</w:t>
      </w:r>
    </w:p>
    <w:p w14:paraId="1EFF3E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432B51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开放合作</w:t>
      </w:r>
    </w:p>
    <w:p w14:paraId="2E1C1C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FAEB13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天府新区应当深化对外开放合作，充分发挥中国（四川）自由贸易试验区、进口贸易促进创新示范区、国际（地区）合作园区等开放合作平台示范引领作用，构建开放型经济体系，全面提升开放合作综合服务能力。</w:t>
      </w:r>
    </w:p>
    <w:p w14:paraId="30148A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支持天府新区发展离岸贸易、转口贸易、跨境电商、外贸综合服务等业态，推动外贸企业开展产品绿色环保转型，优化服务贸易结构，促进服务贸易创新发展。</w:t>
      </w:r>
    </w:p>
    <w:p w14:paraId="3355E8C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天府新区应当依照国家规定，对外商投资实行准入前国民待遇加负面清单管理制度，对负面清单以外的领域，按照内外资一致的原则实施管理。</w:t>
      </w:r>
    </w:p>
    <w:p w14:paraId="1F46B7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省人民政府、成都市人民政府及其有关部门应当支持天府新区探索便利化通关、资金跨境流动，持续优化国际化营商环境。</w:t>
      </w:r>
    </w:p>
    <w:p w14:paraId="48FB38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天府新区应当积极融入西部陆海新通道建设，充分利用区域全面经济伙伴关系协定等国际协定，扩大优势产品出口和优质商品进口，建设</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进出口商品集散中心。</w:t>
      </w:r>
    </w:p>
    <w:p w14:paraId="624220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天府新区应当推进国际友好城市、国际（地区）合作园区、国际化社区等开放合作平台建设，增强对外服务功能，促进经贸往来和人文交流，打造交往设施现代化、资源要素高端化、服务体系完备化的国际对外交往中心。</w:t>
      </w:r>
    </w:p>
    <w:p w14:paraId="27B401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省人民政府、成都市人民政府、眉山市人民政府承接和主导的国家（区域）间政府合作项目、重大会议会展、外事活动以及国际国内知名的文化体育活动等，优先在天府新区布局。</w:t>
      </w:r>
    </w:p>
    <w:p w14:paraId="7D7A812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支持天府新区提升保税监管场所能级，增强海关特殊监管区域保税研发、保税检测、保税维修、保税展示交易等功能。</w:t>
      </w:r>
    </w:p>
    <w:p w14:paraId="0DBD9B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63D4B7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生态宜居</w:t>
      </w:r>
    </w:p>
    <w:p w14:paraId="4B323E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BBDD3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天府新区应当严守生态保护红线、环境质量底线、资源利用上线，建立严格的生态环境准入制度。</w:t>
      </w:r>
    </w:p>
    <w:p w14:paraId="0E5755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支持天府新区依法开展环境影响评价改革试点，可根据环境质量改善情况核定污染物排放总量，开展区域环境影响评价等试点工作，探索环境影响评价审批简化模式。</w:t>
      </w:r>
    </w:p>
    <w:p w14:paraId="0AE956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省人民政府、成都市人民政府、眉山市人民政府对天府新区与有关市（州）、县（市、区）共建的重大项目，实施污染物排放总量统筹调剂。</w:t>
      </w:r>
    </w:p>
    <w:p w14:paraId="6A2EFCA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天府新区应当构建绿色低碳循环发展经济体系，推动双碳科技创新，服务绿色低碳产业发展。</w:t>
      </w:r>
    </w:p>
    <w:p w14:paraId="606140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天府新区应当构建生态价值评价体系，创新生态产品交易机制，探索政府主导、市场运作、社会参与的生态价值实现路径。</w:t>
      </w:r>
    </w:p>
    <w:p w14:paraId="3452E9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天府新区应当强化生态环境综合治理和系统保护，推进大气、水、土壤污染防治，健全完善环境基础设施。</w:t>
      </w:r>
    </w:p>
    <w:p w14:paraId="1701AE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支持天府新区与周边区域建立生态环境协同治理长效机制，加强大气污染联防联控、重点流域水污染协同治理、饮用水水源保护联合执法和突发环境事件应急协作等生态环境管理协作。</w:t>
      </w:r>
    </w:p>
    <w:p w14:paraId="68F34FB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鼓励天府新区和周边区域推行污水处理、垃圾处理等环境基础设施规划建设统筹共享。</w:t>
      </w:r>
    </w:p>
    <w:p w14:paraId="6DD1C2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天府新区应当优化供排净治管理机制，强化水生态修复和治理，系统改善流域生态环境，建设功能复合的亲水滨水空间，打造可持续的公园城市水生态系统。</w:t>
      </w:r>
    </w:p>
    <w:p w14:paraId="5A2424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天府新区应当开展水资源承载能力评价，落实最严格的水资源管理制度，推进农业节水增效、工业节水减排、城镇节水降耗、非常规水源利用等节水型社会建设。</w:t>
      </w:r>
    </w:p>
    <w:p w14:paraId="5D54D5A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天府新区应当建立耕地数量保护监管网格体系和耕地质量监管评价体系，持续监测和分析耕地动态变化情况，实现耕地和永久基本农田保护监督责任全覆盖。</w:t>
      </w:r>
    </w:p>
    <w:p w14:paraId="39A05BA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天府新区应当加强森林抚育和退化林修复，提升森林质量，加强生物多样性保护；优化森林生态格局，发挥森林生态功能，探索生态价值转化实现路径机制，推动林园资源与新型业态创新融合发展。</w:t>
      </w:r>
    </w:p>
    <w:p w14:paraId="279ABE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天府新区应当发展绿色建筑，推广绿色交通，倡导绿色低碳生活方式。</w:t>
      </w:r>
    </w:p>
    <w:p w14:paraId="30A8E1D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省人民政府、成都市人民政府、眉山市人民政府及其有关部门应当支持天府新区开展国家气候投融资试点，支持省级气候投融资综合服务平台等绿色金融服务机构落户天府新区。</w:t>
      </w:r>
    </w:p>
    <w:p w14:paraId="706FC00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支持在天府新区规划协调管控区开展区域合作，推进天府新区外围区域的生态保育、休闲旅游、生态农业的协同发展。</w:t>
      </w:r>
    </w:p>
    <w:p w14:paraId="501F08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898279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服务保障</w:t>
      </w:r>
    </w:p>
    <w:p w14:paraId="591349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9958BE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天府新区应当建立与经济社会发展相适应的政务服务体制机制，跨层级深化简政放权、放管结合、优化服务改革，提升政务服务水平，为企业和群众提供公平、高效、优质的政务服务，建设一流的市场化、法治化、国际化营商环境。</w:t>
      </w:r>
    </w:p>
    <w:p w14:paraId="02CCCD6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天府新区应当坚持人才引领发展战略，编制人才发展规划，深化人才发展体制机制改革，加快高层次人才引进，完善科技创新人才梯度培养机制，建设具有全国影响力的创新人才集聚区。</w:t>
      </w:r>
    </w:p>
    <w:p w14:paraId="12E9FC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省人民政府、成都市人民政府及其有关部门应当支持天府新区在人才引进使用等方面先行先试，支持建立与人才引进需求相适应的积分落户区域加分管理制度、住房保障机制。</w:t>
      </w:r>
    </w:p>
    <w:p w14:paraId="5AB990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支持重大科研项目推行首席科学家负责制、总师负责制和法人负责制。鼓励对高层次和紧缺人才实行年薪制、协议工资制、项目工资制等以贡献为导向的薪酬激励机制。</w:t>
      </w:r>
    </w:p>
    <w:p w14:paraId="1ACBBB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天府新区应当建设省级教育综合改革试验区，深化中小学招生改革，深化教育人事制度改革，创新教师招聘、考核、共享和退出机制，探索教师薪酬制度改革。</w:t>
      </w:r>
    </w:p>
    <w:p w14:paraId="20FB5A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省人民政府及其有关部门应当支持天府新区创新办学体制机制，探索公办、公益性学位供给新模式。</w:t>
      </w:r>
    </w:p>
    <w:p w14:paraId="7E5F12F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天府新区应当加快医疗卫生事业发展，推进公立医院综合改革，构建整合型医疗卫生服务体系，适度超前布局医疗卫生资源，加强医疗人才队伍建设，建立健全医疗人才培养、引进和激励机制。</w:t>
      </w:r>
    </w:p>
    <w:p w14:paraId="6AA199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省人民政府及其有关部门应当支持天府新区创建国际医疗先行区，并在大型医用设备配置方面给予政策支持。</w:t>
      </w:r>
    </w:p>
    <w:p w14:paraId="6D2B34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支持外资按照相关规定在天府新区设立医疗机构。</w:t>
      </w:r>
    </w:p>
    <w:p w14:paraId="0BEE7B0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天府新区应当繁荣发展文化事业和文化产业，鼓励社会主体多元参与，构建现代化、智慧化的高品质公共服务体系。</w:t>
      </w:r>
    </w:p>
    <w:p w14:paraId="08F8787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推进城乡公共服务和基础设施建设优质均衡配置，鼓励大剧院、博物馆、图书馆等公共文旅场馆设施优先在天府新区布局。</w:t>
      </w:r>
    </w:p>
    <w:p w14:paraId="1F7ECD3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省人民政府、成都市人民政府应当推进天府中央法务区与天府中央商务区融合发展，高质量优化法治化营商环境。</w:t>
      </w:r>
    </w:p>
    <w:p w14:paraId="73B70A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级司法机关入驻天府中央法务区。鼓励仲裁机构、公证机构、鉴定机构、知识产权机构、律师事务所、会计师事务所、税务师事务所等专业服务机构及有关商务机构在天府中央法务区聚集，并给予相应政策支持。</w:t>
      </w:r>
    </w:p>
    <w:p w14:paraId="5B2970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支持天府中央法务区发展商事仲裁、调解、涉外法律服务，探索建立商事纠纷多元解决机制。支持中外（含港澳台地区）法律服务机构在天府新区开展相关业务合作。</w:t>
      </w:r>
    </w:p>
    <w:p w14:paraId="361A04F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天府新区应当探索社区发展和社会治理相融合的基层自治模式，推动治理重心和配套资源下沉，深化一站解纷平台职能，健全矛盾纠纷多元化解工作体系，健全城市安全风险信息管理系统和应急管理制度，提升安全保障和应急处置能力。</w:t>
      </w:r>
    </w:p>
    <w:p w14:paraId="40D0C6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732CCE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14:paraId="4CFA203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4963D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法律、行政法规对国家级新区建设发展另有规定的，从其规定。</w:t>
      </w:r>
    </w:p>
    <w:p w14:paraId="4396A1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本条例所称</w:t>
      </w:r>
      <w:r>
        <w:rPr>
          <w:rFonts w:hint="eastAsia" w:eastAsia="仿宋_GB2312"/>
          <w:sz w:val="32"/>
          <w:lang w:eastAsia="zh-CN"/>
        </w:rPr>
        <w:t>“</w:t>
      </w:r>
      <w:r>
        <w:rPr>
          <w:rFonts w:ascii="Times New Roman" w:hAnsi="Times New Roman" w:eastAsia="仿宋_GB2312"/>
          <w:sz w:val="32"/>
        </w:rPr>
        <w:t>规划协调管控区</w:t>
      </w:r>
      <w:r>
        <w:rPr>
          <w:rFonts w:hint="eastAsia" w:eastAsia="仿宋_GB2312"/>
          <w:sz w:val="32"/>
          <w:lang w:eastAsia="zh-CN"/>
        </w:rPr>
        <w:t>”</w:t>
      </w:r>
      <w:r>
        <w:rPr>
          <w:rFonts w:ascii="Times New Roman" w:hAnsi="Times New Roman" w:eastAsia="仿宋_GB2312"/>
          <w:sz w:val="32"/>
        </w:rPr>
        <w:t>系依据《四川天府新区总体规划（</w:t>
      </w:r>
      <w:r>
        <w:rPr>
          <w:rFonts w:hint="default" w:ascii="Times New Roman" w:hAnsi="Times New Roman" w:eastAsia="仿宋_GB2312" w:cs="Times New Roman"/>
          <w:sz w:val="32"/>
        </w:rPr>
        <w:t>2010</w:t>
      </w:r>
      <w:r>
        <w:rPr>
          <w:rFonts w:ascii="Times New Roman" w:hAnsi="Times New Roman" w:eastAsia="仿宋_GB2312"/>
          <w:sz w:val="32"/>
        </w:rPr>
        <w:t>—</w:t>
      </w:r>
      <w:r>
        <w:rPr>
          <w:rFonts w:hint="default" w:ascii="Times New Roman" w:hAnsi="Times New Roman" w:eastAsia="仿宋_GB2312" w:cs="Times New Roman"/>
          <w:sz w:val="32"/>
        </w:rPr>
        <w:t>2030</w:t>
      </w:r>
      <w:r>
        <w:rPr>
          <w:rFonts w:ascii="Times New Roman" w:hAnsi="Times New Roman" w:eastAsia="仿宋_GB2312"/>
          <w:sz w:val="32"/>
        </w:rPr>
        <w:t>年）（</w:t>
      </w:r>
      <w:r>
        <w:rPr>
          <w:rFonts w:hint="default" w:ascii="Times New Roman" w:hAnsi="Times New Roman" w:eastAsia="仿宋_GB2312" w:cs="Times New Roman"/>
          <w:sz w:val="32"/>
        </w:rPr>
        <w:t>2015</w:t>
      </w:r>
      <w:r>
        <w:rPr>
          <w:rFonts w:ascii="Times New Roman" w:hAnsi="Times New Roman" w:eastAsia="仿宋_GB2312"/>
          <w:sz w:val="32"/>
        </w:rPr>
        <w:t>年版）》划定的毗邻天府新区的现成都、眉山</w:t>
      </w:r>
      <w:r>
        <w:rPr>
          <w:rFonts w:hint="default" w:ascii="Times New Roman" w:hAnsi="Times New Roman" w:eastAsia="仿宋_GB2312" w:cs="Times New Roman"/>
          <w:sz w:val="32"/>
        </w:rPr>
        <w:t>2</w:t>
      </w:r>
      <w:r>
        <w:rPr>
          <w:rFonts w:ascii="Times New Roman" w:hAnsi="Times New Roman" w:eastAsia="仿宋_GB2312"/>
          <w:sz w:val="32"/>
        </w:rPr>
        <w:t>市共</w:t>
      </w:r>
      <w:r>
        <w:rPr>
          <w:rFonts w:hint="default" w:ascii="Times New Roman" w:hAnsi="Times New Roman" w:eastAsia="仿宋_GB2312" w:cs="Times New Roman"/>
          <w:sz w:val="32"/>
        </w:rPr>
        <w:t>24</w:t>
      </w:r>
      <w:r>
        <w:rPr>
          <w:rFonts w:ascii="Times New Roman" w:hAnsi="Times New Roman" w:eastAsia="仿宋_GB2312"/>
          <w:sz w:val="32"/>
        </w:rPr>
        <w:t>个乡镇（街道），总面积约</w:t>
      </w:r>
      <w:r>
        <w:rPr>
          <w:rFonts w:hint="default" w:ascii="Times New Roman" w:hAnsi="Times New Roman" w:eastAsia="仿宋_GB2312" w:cs="Times New Roman"/>
          <w:sz w:val="32"/>
        </w:rPr>
        <w:t>1100</w:t>
      </w:r>
      <w:r>
        <w:rPr>
          <w:rFonts w:ascii="Times New Roman" w:hAnsi="Times New Roman" w:eastAsia="仿宋_GB2312"/>
          <w:sz w:val="32"/>
        </w:rPr>
        <w:t>平方公里。</w:t>
      </w:r>
    </w:p>
    <w:p w14:paraId="7D8A4A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5EB1">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DE12">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005B8D"/>
    <w:rsid w:val="05EE09DC"/>
    <w:rsid w:val="0D9804AC"/>
    <w:rsid w:val="112A6783"/>
    <w:rsid w:val="11E4354D"/>
    <w:rsid w:val="16DC7373"/>
    <w:rsid w:val="204329B2"/>
    <w:rsid w:val="344634A2"/>
    <w:rsid w:val="35D07049"/>
    <w:rsid w:val="3DE63740"/>
    <w:rsid w:val="42E63BB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6570</Words>
  <Characters>6593</Characters>
  <Lines>0</Lines>
  <Paragraphs>0</Paragraphs>
  <TotalTime>4</TotalTime>
  <ScaleCrop>false</ScaleCrop>
  <LinksUpToDate>false</LinksUpToDate>
  <CharactersWithSpaces>6674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2024-06-25T08:40:22Z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