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snapToGrid/>
        <w:spacing w:line="240" w:lineRule="auto"/>
        <w:ind w:right="0" w:rightChars="0"/>
        <w:jc w:val="both"/>
        <w:textAlignment w:val="auto"/>
        <w:rPr>
          <w:rFonts w:hint="eastAsia" w:ascii="宋体" w:hAnsi="宋体" w:eastAsia="宋体" w:cs="宋体"/>
          <w:b w:val="0"/>
          <w:bCs/>
          <w:color w:val="auto"/>
          <w:sz w:val="32"/>
          <w:szCs w:val="32"/>
          <w:highlight w:val="none"/>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44"/>
          <w:szCs w:val="44"/>
        </w:rPr>
      </w:pPr>
      <w:r>
        <w:rPr>
          <w:rFonts w:hint="eastAsia" w:ascii="宋体" w:hAnsi="宋体" w:eastAsia="宋体" w:cs="宋体"/>
          <w:sz w:val="44"/>
          <w:szCs w:val="44"/>
        </w:rPr>
        <w:t>临汾市岩溶泉域水资源保护条例</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ascii="楷体_GB2312" w:hAnsi="Calibri" w:eastAsia="楷体_GB2312"/>
          <w:sz w:val="32"/>
          <w:szCs w:val="32"/>
        </w:rPr>
      </w:pPr>
      <w:r>
        <w:rPr>
          <w:rFonts w:hint="eastAsia" w:ascii="楷体_GB2312" w:hAnsi="Calibri" w:eastAsia="楷体_GB2312"/>
          <w:sz w:val="32"/>
          <w:szCs w:val="32"/>
        </w:rPr>
        <w:t>（</w:t>
      </w:r>
      <w:r>
        <w:rPr>
          <w:rFonts w:hint="default" w:ascii="Times New Roman" w:hAnsi="Times New Roman" w:eastAsia="楷体_GB2312" w:cs="Times New Roman"/>
          <w:sz w:val="32"/>
          <w:szCs w:val="32"/>
        </w:rPr>
        <w:t>2023年2月7日临汾市第五届人民代表大会常务委员会第七次会议通过</w:t>
      </w:r>
      <w:r>
        <w:rPr>
          <w:rFonts w:hint="default" w:ascii="Times New Roman" w:hAnsi="Times New Roman" w:eastAsia="楷体_GB2312" w:cs="Times New Roman"/>
          <w:sz w:val="32"/>
          <w:szCs w:val="32"/>
          <w:lang w:eastAsia="zh-CN"/>
        </w:rPr>
        <w:t>　</w:t>
      </w:r>
      <w:r>
        <w:rPr>
          <w:rFonts w:hint="default" w:ascii="Times New Roman" w:hAnsi="Times New Roman" w:eastAsia="楷体_GB2312" w:cs="Times New Roman"/>
          <w:sz w:val="32"/>
          <w:szCs w:val="32"/>
        </w:rPr>
        <w:t>2023年5月26日山西省第十四届人民代表大会常务委员会第三次会议批准</w:t>
      </w:r>
      <w:r>
        <w:rPr>
          <w:rFonts w:hint="eastAsia" w:ascii="楷体_GB2312" w:hAnsi="Calibri" w:eastAsia="楷体_GB2312"/>
          <w:sz w:val="32"/>
          <w:szCs w:val="32"/>
        </w:rPr>
        <w:t>）</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Calibri" w:eastAsia="仿宋_GB2312"/>
          <w:sz w:val="32"/>
          <w:szCs w:val="32"/>
        </w:rPr>
      </w:pPr>
      <w:r>
        <w:rPr>
          <w:rFonts w:hint="eastAsia" w:ascii="黑体" w:hAnsi="黑体" w:eastAsia="黑体"/>
          <w:sz w:val="32"/>
          <w:szCs w:val="32"/>
        </w:rPr>
        <w:t>第一</w:t>
      </w:r>
      <w:r>
        <w:rPr>
          <w:rFonts w:hint="eastAsia" w:ascii="黑体" w:hAnsi="黑体" w:eastAsia="黑体"/>
          <w:sz w:val="32"/>
          <w:szCs w:val="32"/>
        </w:rPr>
        <w:t>条</w:t>
      </w:r>
      <w:r>
        <w:rPr>
          <w:rFonts w:hint="eastAsia" w:ascii="仿宋_GB2312" w:hAnsi="Calibri"/>
          <w:sz w:val="32"/>
          <w:szCs w:val="32"/>
          <w:lang w:eastAsia="zh-CN"/>
        </w:rPr>
        <w:t>　</w:t>
      </w:r>
      <w:r>
        <w:rPr>
          <w:rFonts w:hint="eastAsia" w:ascii="仿宋_GB2312" w:hAnsi="Calibri" w:eastAsia="仿宋_GB2312"/>
          <w:sz w:val="32"/>
          <w:szCs w:val="32"/>
        </w:rPr>
        <w:t>为了加强岩溶泉域水资源保护和管理，合理利用岩溶泉域水资源，改善岩溶泉域水生态环境，根据有关法律、法规，结合本市实际，制定本条例。</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sz w:val="32"/>
          <w:szCs w:val="32"/>
        </w:rPr>
        <w:t>第二</w:t>
      </w:r>
      <w:r>
        <w:rPr>
          <w:rFonts w:hint="eastAsia" w:ascii="黑体" w:hAnsi="黑体" w:eastAsia="黑体"/>
          <w:sz w:val="32"/>
          <w:szCs w:val="32"/>
        </w:rPr>
        <w:t>条</w:t>
      </w:r>
      <w:r>
        <w:rPr>
          <w:rFonts w:hint="eastAsia" w:ascii="仿宋_GB2312" w:hAnsi="Calibri"/>
          <w:sz w:val="32"/>
          <w:szCs w:val="32"/>
          <w:lang w:eastAsia="zh-CN"/>
        </w:rPr>
        <w:t>　</w:t>
      </w:r>
      <w:r>
        <w:rPr>
          <w:rFonts w:hint="eastAsia" w:ascii="仿宋_GB2312" w:hAnsi="Calibri" w:eastAsia="仿宋_GB2312"/>
          <w:sz w:val="32"/>
          <w:szCs w:val="32"/>
        </w:rPr>
        <w:t>本市行政区域内郭庄泉、霍泉、龙子祠泉、古堆泉等岩溶泉域保护范围内从事开发、利用、保护和管理岩溶泉域水资源的活动，适用本条例。</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Calibri" w:eastAsia="仿宋_GB2312"/>
          <w:sz w:val="32"/>
          <w:szCs w:val="32"/>
        </w:rPr>
      </w:pPr>
      <w:r>
        <w:rPr>
          <w:rFonts w:hint="eastAsia" w:ascii="黑体" w:hAnsi="黑体" w:eastAsia="黑体"/>
          <w:sz w:val="32"/>
          <w:szCs w:val="32"/>
        </w:rPr>
        <w:t>第三</w:t>
      </w:r>
      <w:r>
        <w:rPr>
          <w:rFonts w:hint="eastAsia" w:ascii="黑体" w:hAnsi="黑体" w:eastAsia="黑体"/>
          <w:sz w:val="32"/>
          <w:szCs w:val="32"/>
        </w:rPr>
        <w:t>条</w:t>
      </w:r>
      <w:r>
        <w:rPr>
          <w:rFonts w:hint="eastAsia" w:ascii="仿宋_GB2312" w:hAnsi="Calibri"/>
          <w:sz w:val="32"/>
          <w:szCs w:val="32"/>
          <w:lang w:eastAsia="zh-CN"/>
        </w:rPr>
        <w:t>　</w:t>
      </w:r>
      <w:r>
        <w:rPr>
          <w:rFonts w:hint="eastAsia" w:ascii="仿宋_GB2312" w:hAnsi="Calibri" w:eastAsia="仿宋_GB2312"/>
          <w:sz w:val="32"/>
          <w:szCs w:val="32"/>
        </w:rPr>
        <w:t>本条例所称岩溶泉域水资源是指岩溶泉水的补给、径流和排泄范围内的地表水、地下水。</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Calibri" w:eastAsia="仿宋_GB2312"/>
          <w:sz w:val="32"/>
          <w:szCs w:val="32"/>
        </w:rPr>
      </w:pPr>
      <w:r>
        <w:rPr>
          <w:rFonts w:hint="eastAsia" w:ascii="黑体" w:hAnsi="黑体" w:eastAsia="黑体"/>
          <w:sz w:val="32"/>
          <w:szCs w:val="32"/>
        </w:rPr>
        <w:t>第四</w:t>
      </w:r>
      <w:r>
        <w:rPr>
          <w:rFonts w:hint="eastAsia" w:ascii="黑体" w:hAnsi="黑体" w:eastAsia="黑体"/>
          <w:sz w:val="32"/>
          <w:szCs w:val="32"/>
        </w:rPr>
        <w:t>条</w:t>
      </w:r>
      <w:r>
        <w:rPr>
          <w:rFonts w:hint="eastAsia" w:ascii="仿宋_GB2312" w:hAnsi="Calibri"/>
          <w:sz w:val="32"/>
          <w:szCs w:val="32"/>
          <w:lang w:eastAsia="zh-CN"/>
        </w:rPr>
        <w:t>　</w:t>
      </w:r>
      <w:r>
        <w:rPr>
          <w:rFonts w:hint="eastAsia" w:ascii="仿宋_GB2312" w:hAnsi="Calibri" w:eastAsia="仿宋_GB2312"/>
          <w:sz w:val="32"/>
          <w:szCs w:val="32"/>
        </w:rPr>
        <w:t>岩溶泉域水资源保护应当遵循统筹规划、分级管理、全面保护、合理开发、节水优先、系统治理、可持续利用的原则。</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sz w:val="32"/>
          <w:szCs w:val="32"/>
        </w:rPr>
        <w:t>第五</w:t>
      </w:r>
      <w:r>
        <w:rPr>
          <w:rFonts w:hint="eastAsia" w:ascii="黑体" w:hAnsi="黑体" w:eastAsia="黑体"/>
          <w:sz w:val="32"/>
          <w:szCs w:val="32"/>
        </w:rPr>
        <w:t>条</w:t>
      </w:r>
      <w:r>
        <w:rPr>
          <w:rFonts w:hint="eastAsia" w:ascii="仿宋_GB2312" w:hAnsi="Calibri"/>
          <w:sz w:val="32"/>
          <w:szCs w:val="32"/>
          <w:lang w:eastAsia="zh-CN"/>
        </w:rPr>
        <w:t>　</w:t>
      </w:r>
      <w:r>
        <w:rPr>
          <w:rFonts w:hint="eastAsia" w:ascii="仿宋_GB2312" w:hAnsi="Calibri" w:eastAsia="仿宋_GB2312"/>
          <w:sz w:val="32"/>
          <w:szCs w:val="32"/>
        </w:rPr>
        <w:t>市、县（市、区）人民政府应当加强对岩溶泉域水资源保护和管理工作的领导，将岩溶泉域水资源保护工作纳入国民经济和社会发展规划，建立岩溶泉域生态保护补偿制度。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Calibri" w:eastAsia="仿宋_GB2312"/>
          <w:sz w:val="32"/>
          <w:szCs w:val="32"/>
        </w:rPr>
      </w:pPr>
      <w:r>
        <w:rPr>
          <w:rFonts w:hint="eastAsia" w:ascii="仿宋_GB2312" w:hAnsi="Calibri" w:eastAsia="仿宋_GB2312"/>
          <w:sz w:val="32"/>
          <w:szCs w:val="32"/>
        </w:rPr>
        <w:t>市人民政府水行政主管部门负责全市岩溶泉域水资源保护的管理和监督。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Calibri" w:eastAsia="仿宋_GB2312"/>
          <w:sz w:val="32"/>
          <w:szCs w:val="32"/>
        </w:rPr>
      </w:pPr>
      <w:r>
        <w:rPr>
          <w:rFonts w:hint="eastAsia" w:ascii="仿宋_GB2312" w:hAnsi="Calibri" w:eastAsia="仿宋_GB2312"/>
          <w:sz w:val="32"/>
          <w:szCs w:val="32"/>
        </w:rPr>
        <w:t>岩溶泉域所涉及县（市、区）人民政府水行政主管部门负责本行政区域内岩溶泉域水资源保护的具体实施和日常管理。</w:t>
      </w:r>
      <w:r>
        <w:rPr>
          <w:rFonts w:hint="eastAsia" w:ascii="仿宋_GB2312" w:hAnsi="宋体" w:eastAsia="仿宋_GB2312" w:cs="宋体"/>
          <w:sz w:val="32"/>
          <w:szCs w:val="32"/>
        </w:rPr>
        <w:t></w:t>
      </w:r>
      <w:bookmarkStart w:id="0" w:name="_GoBack"/>
    </w:p>
    <w:bookmarkEnd w:id="0"/>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Calibri" w:eastAsia="仿宋_GB2312"/>
          <w:sz w:val="32"/>
          <w:szCs w:val="32"/>
        </w:rPr>
      </w:pPr>
      <w:r>
        <w:rPr>
          <w:rFonts w:hint="eastAsia" w:ascii="黑体" w:hAnsi="黑体" w:eastAsia="黑体"/>
          <w:sz w:val="32"/>
          <w:szCs w:val="32"/>
        </w:rPr>
        <w:t>第六</w:t>
      </w:r>
      <w:r>
        <w:rPr>
          <w:rFonts w:hint="eastAsia" w:ascii="黑体" w:hAnsi="黑体" w:eastAsia="黑体"/>
          <w:sz w:val="32"/>
          <w:szCs w:val="32"/>
        </w:rPr>
        <w:t>条</w:t>
      </w:r>
      <w:r>
        <w:rPr>
          <w:rFonts w:hint="eastAsia" w:ascii="仿宋_GB2312" w:hAnsi="Calibri"/>
          <w:sz w:val="32"/>
          <w:szCs w:val="32"/>
          <w:lang w:eastAsia="zh-CN"/>
        </w:rPr>
        <w:t>　</w:t>
      </w:r>
      <w:r>
        <w:rPr>
          <w:rFonts w:hint="eastAsia" w:ascii="仿宋_GB2312" w:hAnsi="Calibri" w:eastAsia="仿宋_GB2312"/>
          <w:sz w:val="32"/>
          <w:szCs w:val="32"/>
        </w:rPr>
        <w:t>市、县（市、区）人民政府发展和改革、生态环境、规划和自然资源、工业和信息化、能源、住房和城乡建设、交通运输、农业农村、行政审批、城市管理、文化和旅游等主管部门应当按照各自职责做好岩溶泉域水资源保护相关工作。</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Calibri" w:eastAsia="仿宋_GB2312"/>
          <w:sz w:val="32"/>
          <w:szCs w:val="32"/>
        </w:rPr>
      </w:pPr>
      <w:r>
        <w:rPr>
          <w:rFonts w:hint="eastAsia" w:ascii="黑体" w:hAnsi="黑体" w:eastAsia="黑体"/>
          <w:sz w:val="32"/>
          <w:szCs w:val="32"/>
        </w:rPr>
        <w:t>第七</w:t>
      </w:r>
      <w:r>
        <w:rPr>
          <w:rFonts w:hint="eastAsia" w:ascii="黑体" w:hAnsi="黑体" w:eastAsia="黑体"/>
          <w:sz w:val="32"/>
          <w:szCs w:val="32"/>
        </w:rPr>
        <w:t>条</w:t>
      </w:r>
      <w:r>
        <w:rPr>
          <w:rFonts w:hint="eastAsia" w:ascii="仿宋_GB2312" w:hAnsi="Calibri"/>
          <w:sz w:val="32"/>
          <w:szCs w:val="32"/>
          <w:lang w:eastAsia="zh-CN"/>
        </w:rPr>
        <w:t>　</w:t>
      </w:r>
      <w:r>
        <w:rPr>
          <w:rFonts w:hint="eastAsia" w:ascii="仿宋_GB2312" w:hAnsi="Calibri" w:eastAsia="仿宋_GB2312"/>
          <w:sz w:val="32"/>
          <w:szCs w:val="32"/>
        </w:rPr>
        <w:t>岩溶泉域所涉及乡（镇）人民政府、街道办事处对辖区内发现的损害岩溶泉域水资源保护行为应当及时向上一级人民政府和有关部门报告。</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Calibri" w:eastAsia="仿宋_GB2312"/>
          <w:sz w:val="32"/>
          <w:szCs w:val="32"/>
        </w:rPr>
      </w:pPr>
      <w:r>
        <w:rPr>
          <w:rFonts w:hint="eastAsia" w:ascii="仿宋_GB2312" w:hAnsi="Calibri" w:eastAsia="仿宋_GB2312"/>
          <w:sz w:val="32"/>
          <w:szCs w:val="32"/>
        </w:rPr>
        <w:t>岩溶泉域范围内村（居）民委员会应当组织引导村（居）民积极参与岩溶泉域保护工作。</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Calibri" w:eastAsia="仿宋_GB2312"/>
          <w:sz w:val="32"/>
          <w:szCs w:val="32"/>
        </w:rPr>
      </w:pPr>
      <w:r>
        <w:rPr>
          <w:rFonts w:hint="eastAsia" w:ascii="黑体" w:hAnsi="黑体" w:eastAsia="黑体"/>
          <w:sz w:val="32"/>
          <w:szCs w:val="32"/>
        </w:rPr>
        <w:t>第八</w:t>
      </w:r>
      <w:r>
        <w:rPr>
          <w:rFonts w:hint="eastAsia" w:ascii="黑体" w:hAnsi="黑体" w:eastAsia="黑体"/>
          <w:sz w:val="32"/>
          <w:szCs w:val="32"/>
        </w:rPr>
        <w:t>条</w:t>
      </w:r>
      <w:r>
        <w:rPr>
          <w:rFonts w:hint="eastAsia" w:ascii="仿宋_GB2312" w:hAnsi="Calibri"/>
          <w:sz w:val="32"/>
          <w:szCs w:val="32"/>
          <w:lang w:eastAsia="zh-CN"/>
        </w:rPr>
        <w:t>　</w:t>
      </w:r>
      <w:r>
        <w:rPr>
          <w:rFonts w:hint="eastAsia" w:ascii="仿宋_GB2312" w:hAnsi="Calibri" w:eastAsia="仿宋_GB2312"/>
          <w:sz w:val="32"/>
          <w:szCs w:val="32"/>
        </w:rPr>
        <w:t>市、县（市、区）人民政府对岩溶泉域水资源保护工作中做出突出贡献的单位和个人，应当按照国家和省有关规定给予表彰或者奖励。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Calibri" w:eastAsia="仿宋_GB2312"/>
          <w:sz w:val="32"/>
          <w:szCs w:val="32"/>
        </w:rPr>
      </w:pPr>
      <w:r>
        <w:rPr>
          <w:rFonts w:hint="eastAsia" w:ascii="黑体" w:hAnsi="黑体" w:eastAsia="黑体"/>
          <w:sz w:val="32"/>
          <w:szCs w:val="32"/>
        </w:rPr>
        <w:t>第九</w:t>
      </w:r>
      <w:r>
        <w:rPr>
          <w:rFonts w:hint="eastAsia" w:ascii="黑体" w:hAnsi="黑体" w:eastAsia="黑体"/>
          <w:sz w:val="32"/>
          <w:szCs w:val="32"/>
        </w:rPr>
        <w:t>条</w:t>
      </w:r>
      <w:r>
        <w:rPr>
          <w:rFonts w:hint="eastAsia" w:ascii="仿宋_GB2312" w:hAnsi="Calibri"/>
          <w:sz w:val="32"/>
          <w:szCs w:val="32"/>
          <w:lang w:eastAsia="zh-CN"/>
        </w:rPr>
        <w:t>　</w:t>
      </w:r>
      <w:r>
        <w:rPr>
          <w:rFonts w:hint="eastAsia" w:ascii="仿宋_GB2312" w:hAnsi="Calibri" w:eastAsia="仿宋_GB2312"/>
          <w:sz w:val="32"/>
          <w:szCs w:val="32"/>
        </w:rPr>
        <w:t>市人民政府水行政主管部门应当根据省人民政府公布的泉域保护范围及其重点保护区范围，组织勘查定界，设立保护标志、提示标识，并建立档案。</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Calibri" w:eastAsia="仿宋_GB2312"/>
          <w:sz w:val="32"/>
          <w:szCs w:val="32"/>
        </w:rPr>
      </w:pPr>
      <w:r>
        <w:rPr>
          <w:rFonts w:hint="eastAsia" w:ascii="仿宋_GB2312" w:hAnsi="Calibri" w:eastAsia="仿宋_GB2312"/>
          <w:sz w:val="32"/>
          <w:szCs w:val="32"/>
        </w:rPr>
        <w:t>任何单位和个人不得损毁、涂改或者擅自移动保护标志和提示标识。</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Calibri" w:eastAsia="仿宋_GB2312"/>
          <w:sz w:val="32"/>
          <w:szCs w:val="32"/>
        </w:rPr>
      </w:pPr>
      <w:r>
        <w:rPr>
          <w:rFonts w:hint="eastAsia" w:ascii="黑体" w:hAnsi="黑体" w:eastAsia="黑体"/>
          <w:sz w:val="32"/>
          <w:szCs w:val="32"/>
        </w:rPr>
        <w:t>第十</w:t>
      </w:r>
      <w:r>
        <w:rPr>
          <w:rFonts w:hint="eastAsia" w:ascii="黑体" w:hAnsi="黑体" w:eastAsia="黑体"/>
          <w:sz w:val="32"/>
          <w:szCs w:val="32"/>
        </w:rPr>
        <w:t>条</w:t>
      </w:r>
      <w:r>
        <w:rPr>
          <w:rFonts w:hint="eastAsia" w:ascii="仿宋_GB2312" w:hAnsi="Calibri"/>
          <w:sz w:val="32"/>
          <w:szCs w:val="32"/>
          <w:lang w:eastAsia="zh-CN"/>
        </w:rPr>
        <w:t>　</w:t>
      </w:r>
      <w:r>
        <w:rPr>
          <w:rFonts w:hint="eastAsia" w:ascii="仿宋_GB2312" w:hAnsi="Calibri" w:eastAsia="仿宋_GB2312"/>
          <w:sz w:val="32"/>
          <w:szCs w:val="32"/>
        </w:rPr>
        <w:t>在岩溶泉域保护范围内，应当遵守下列规定：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Calibri" w:eastAsia="仿宋_GB2312"/>
          <w:sz w:val="32"/>
          <w:szCs w:val="32"/>
        </w:rPr>
      </w:pPr>
      <w:r>
        <w:rPr>
          <w:rFonts w:hint="eastAsia" w:ascii="仿宋_GB2312" w:hAnsi="Calibri" w:eastAsia="仿宋_GB2312"/>
          <w:sz w:val="32"/>
          <w:szCs w:val="32"/>
        </w:rPr>
        <w:t>（一）控制岩溶地下水开采；</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Calibri" w:eastAsia="仿宋_GB2312"/>
          <w:sz w:val="32"/>
          <w:szCs w:val="32"/>
        </w:rPr>
      </w:pPr>
      <w:r>
        <w:rPr>
          <w:rFonts w:hint="eastAsia" w:ascii="仿宋_GB2312" w:hAnsi="Calibri" w:eastAsia="仿宋_GB2312"/>
          <w:sz w:val="32"/>
          <w:szCs w:val="32"/>
        </w:rPr>
        <w:t>（二）合理开发孔隙裂隙地下水；</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Calibri" w:eastAsia="仿宋_GB2312"/>
          <w:sz w:val="32"/>
          <w:szCs w:val="32"/>
        </w:rPr>
      </w:pPr>
      <w:r>
        <w:rPr>
          <w:rFonts w:hint="eastAsia" w:ascii="仿宋_GB2312" w:hAnsi="Calibri" w:eastAsia="仿宋_GB2312"/>
          <w:sz w:val="32"/>
          <w:szCs w:val="32"/>
        </w:rPr>
        <w:t>（三）严格控制兴建耗水量大或者对水资源有污染的建设项目；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Calibri" w:eastAsia="仿宋_GB2312"/>
          <w:sz w:val="32"/>
          <w:szCs w:val="32"/>
        </w:rPr>
      </w:pPr>
      <w:r>
        <w:rPr>
          <w:rFonts w:hint="eastAsia" w:ascii="仿宋_GB2312" w:hAnsi="Calibri" w:eastAsia="仿宋_GB2312"/>
          <w:sz w:val="32"/>
          <w:szCs w:val="32"/>
        </w:rPr>
        <w:t>（四）不得利用渗坑、渗井、溶洞、废弃钻孔、裂隙等排放工业废水、生活污水等废污水和倾倒废渣、生活垃圾和其他废弃物；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Calibri" w:eastAsia="仿宋_GB2312"/>
          <w:sz w:val="32"/>
          <w:szCs w:val="32"/>
        </w:rPr>
      </w:pPr>
      <w:r>
        <w:rPr>
          <w:rFonts w:hint="eastAsia" w:ascii="仿宋_GB2312" w:hAnsi="Calibri" w:eastAsia="仿宋_GB2312"/>
          <w:sz w:val="32"/>
          <w:szCs w:val="32"/>
        </w:rPr>
        <w:t>（五）禁止在超采区和公共供水管网覆盖区域擅自打井取水；</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Calibri" w:eastAsia="仿宋_GB2312"/>
          <w:sz w:val="32"/>
          <w:szCs w:val="32"/>
        </w:rPr>
      </w:pPr>
      <w:r>
        <w:rPr>
          <w:rFonts w:hint="eastAsia" w:ascii="仿宋_GB2312" w:hAnsi="Calibri" w:eastAsia="仿宋_GB2312"/>
          <w:sz w:val="32"/>
          <w:szCs w:val="32"/>
        </w:rPr>
        <w:t>（六）禁止在石灰岩裸露区内建设垃圾填埋场和矸石填埋场；</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Calibri" w:eastAsia="仿宋_GB2312"/>
          <w:sz w:val="32"/>
          <w:szCs w:val="32"/>
        </w:rPr>
      </w:pPr>
      <w:r>
        <w:rPr>
          <w:rFonts w:hint="eastAsia" w:ascii="仿宋_GB2312" w:hAnsi="Calibri" w:eastAsia="仿宋_GB2312"/>
          <w:sz w:val="32"/>
          <w:szCs w:val="32"/>
        </w:rPr>
        <w:t>（七）法律、法规规定的不得从事可能危害岩溶泉域水资源的其他行为。</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Calibri" w:eastAsia="仿宋_GB2312"/>
          <w:sz w:val="32"/>
          <w:szCs w:val="32"/>
        </w:rPr>
      </w:pPr>
      <w:r>
        <w:rPr>
          <w:rFonts w:hint="eastAsia" w:ascii="黑体" w:hAnsi="黑体" w:eastAsia="黑体"/>
          <w:sz w:val="32"/>
          <w:szCs w:val="32"/>
        </w:rPr>
        <w:t>第十一</w:t>
      </w:r>
      <w:r>
        <w:rPr>
          <w:rFonts w:hint="eastAsia" w:ascii="黑体" w:hAnsi="黑体" w:eastAsia="黑体"/>
          <w:sz w:val="32"/>
          <w:szCs w:val="32"/>
        </w:rPr>
        <w:t>条</w:t>
      </w:r>
      <w:r>
        <w:rPr>
          <w:rFonts w:hint="eastAsia" w:ascii="仿宋_GB2312" w:hAnsi="Calibri"/>
          <w:sz w:val="32"/>
          <w:szCs w:val="32"/>
          <w:lang w:eastAsia="zh-CN"/>
        </w:rPr>
        <w:t>　</w:t>
      </w:r>
      <w:r>
        <w:rPr>
          <w:rFonts w:hint="eastAsia" w:ascii="仿宋_GB2312" w:hAnsi="Calibri" w:eastAsia="仿宋_GB2312"/>
          <w:sz w:val="32"/>
          <w:szCs w:val="32"/>
        </w:rPr>
        <w:t>在岩溶泉域重点保护区内，不得从事下列行为：</w:t>
      </w:r>
      <w:r>
        <w:rPr>
          <w:rFonts w:ascii="仿宋_GB2312" w:hAnsi="Calibri"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Calibri" w:eastAsia="仿宋_GB2312"/>
          <w:sz w:val="32"/>
          <w:szCs w:val="32"/>
        </w:rPr>
      </w:pPr>
      <w:r>
        <w:rPr>
          <w:rFonts w:hint="eastAsia" w:ascii="仿宋_GB2312" w:hAnsi="Calibri" w:eastAsia="仿宋_GB2312"/>
          <w:sz w:val="32"/>
          <w:szCs w:val="32"/>
        </w:rPr>
        <w:t>（一）擅自打井、挖泉、截流、引水；</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Calibri" w:eastAsia="仿宋_GB2312"/>
          <w:sz w:val="32"/>
          <w:szCs w:val="32"/>
        </w:rPr>
      </w:pPr>
      <w:r>
        <w:rPr>
          <w:rFonts w:hint="eastAsia" w:ascii="仿宋_GB2312" w:hAnsi="Calibri" w:eastAsia="仿宋_GB2312"/>
          <w:sz w:val="32"/>
          <w:szCs w:val="32"/>
        </w:rPr>
        <w:t>（二）将已污染含水层与未污染含水层的地下水混合开采；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Calibri" w:eastAsia="仿宋_GB2312"/>
          <w:sz w:val="32"/>
          <w:szCs w:val="32"/>
        </w:rPr>
      </w:pPr>
      <w:r>
        <w:rPr>
          <w:rFonts w:hint="eastAsia" w:ascii="仿宋_GB2312" w:hAnsi="Calibri" w:eastAsia="仿宋_GB2312"/>
          <w:sz w:val="32"/>
          <w:szCs w:val="32"/>
        </w:rPr>
        <w:t>（三）采煤、开矿、开山采石、兴建地下工程；</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Calibri" w:eastAsia="仿宋_GB2312"/>
          <w:sz w:val="32"/>
          <w:szCs w:val="32"/>
        </w:rPr>
      </w:pPr>
      <w:r>
        <w:rPr>
          <w:rFonts w:hint="eastAsia" w:ascii="仿宋_GB2312" w:hAnsi="Calibri" w:eastAsia="仿宋_GB2312"/>
          <w:sz w:val="32"/>
          <w:szCs w:val="32"/>
        </w:rPr>
        <w:t>（四）新建、改建、扩建与供水设施和保护水源无关的建设项目；</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Calibri" w:eastAsia="仿宋_GB2312"/>
          <w:sz w:val="32"/>
          <w:szCs w:val="32"/>
        </w:rPr>
      </w:pPr>
      <w:r>
        <w:rPr>
          <w:rFonts w:hint="eastAsia" w:ascii="仿宋_GB2312" w:hAnsi="Calibri" w:eastAsia="仿宋_GB2312"/>
          <w:sz w:val="32"/>
          <w:szCs w:val="32"/>
        </w:rPr>
        <w:t>（五）倾倒、排放工业废渣和生活垃圾、污水及其他废弃物；</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Calibri" w:eastAsia="仿宋_GB2312"/>
          <w:sz w:val="32"/>
          <w:szCs w:val="32"/>
        </w:rPr>
      </w:pPr>
      <w:r>
        <w:rPr>
          <w:rFonts w:hint="eastAsia" w:ascii="仿宋_GB2312" w:hAnsi="Calibri" w:eastAsia="仿宋_GB2312"/>
          <w:sz w:val="32"/>
          <w:szCs w:val="32"/>
        </w:rPr>
        <w:t>（六）法律、法规禁止从事的其他行为。</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Calibri" w:eastAsia="仿宋_GB2312"/>
          <w:sz w:val="32"/>
          <w:szCs w:val="32"/>
        </w:rPr>
      </w:pPr>
      <w:r>
        <w:rPr>
          <w:rFonts w:hint="eastAsia" w:ascii="仿宋_GB2312" w:hAnsi="Calibri" w:eastAsia="仿宋_GB2312"/>
          <w:sz w:val="32"/>
          <w:szCs w:val="32"/>
        </w:rPr>
        <w:t>前款第（四）项规定的建设项目，属于国家、省大型建设项目和重点工程因地形原因无法避让，或者重要民生工程确需经过或者进入岩溶泉域重点保护区，经报请省水行政主管部门组织专家充分论证，项目建设在采取严格保护措施后不会对岩溶泉域水资源造成污染和影响，经报请由省人民政府水行政主管部门决定批准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Calibri" w:eastAsia="仿宋_GB2312"/>
          <w:sz w:val="32"/>
          <w:szCs w:val="32"/>
        </w:rPr>
      </w:pPr>
      <w:r>
        <w:rPr>
          <w:rFonts w:hint="eastAsia" w:ascii="黑体" w:hAnsi="黑体" w:eastAsia="黑体"/>
          <w:sz w:val="32"/>
          <w:szCs w:val="32"/>
        </w:rPr>
        <w:t>第十二</w:t>
      </w:r>
      <w:r>
        <w:rPr>
          <w:rFonts w:hint="eastAsia" w:ascii="黑体" w:hAnsi="黑体" w:eastAsia="黑体"/>
          <w:sz w:val="32"/>
          <w:szCs w:val="32"/>
        </w:rPr>
        <w:t>条</w:t>
      </w:r>
      <w:r>
        <w:rPr>
          <w:rFonts w:hint="eastAsia" w:ascii="仿宋_GB2312" w:hAnsi="Calibri"/>
          <w:sz w:val="32"/>
          <w:szCs w:val="32"/>
          <w:lang w:eastAsia="zh-CN"/>
        </w:rPr>
        <w:t>　</w:t>
      </w:r>
      <w:r>
        <w:rPr>
          <w:rFonts w:hint="eastAsia" w:ascii="仿宋_GB2312" w:hAnsi="Calibri" w:eastAsia="仿宋_GB2312"/>
          <w:sz w:val="32"/>
          <w:szCs w:val="32"/>
        </w:rPr>
        <w:t>岩溶泉域水资源的开发利用，应当统筹地表水和地下水，优先利用地表水；统筹生态、生产用水需要，优先满足城乡居民生活用水，合理配置水资源。岩溶泉域保护范围内开采岩溶地下水实行总量控制。</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Calibri" w:eastAsia="仿宋_GB2312"/>
          <w:sz w:val="32"/>
          <w:szCs w:val="32"/>
        </w:rPr>
      </w:pPr>
      <w:r>
        <w:rPr>
          <w:rFonts w:hint="eastAsia" w:ascii="黑体" w:hAnsi="黑体" w:eastAsia="黑体"/>
          <w:sz w:val="32"/>
          <w:szCs w:val="32"/>
        </w:rPr>
        <w:t>第十三</w:t>
      </w:r>
      <w:r>
        <w:rPr>
          <w:rFonts w:hint="eastAsia" w:ascii="黑体" w:hAnsi="黑体" w:eastAsia="黑体"/>
          <w:sz w:val="32"/>
          <w:szCs w:val="32"/>
        </w:rPr>
        <w:t>条</w:t>
      </w:r>
      <w:r>
        <w:rPr>
          <w:rFonts w:hint="eastAsia" w:ascii="仿宋_GB2312" w:hAnsi="Calibri"/>
          <w:sz w:val="32"/>
          <w:szCs w:val="32"/>
          <w:lang w:eastAsia="zh-CN"/>
        </w:rPr>
        <w:t>　</w:t>
      </w:r>
      <w:r>
        <w:rPr>
          <w:rFonts w:hint="eastAsia" w:ascii="仿宋_GB2312" w:hAnsi="Calibri" w:eastAsia="仿宋_GB2312"/>
          <w:sz w:val="32"/>
          <w:szCs w:val="32"/>
        </w:rPr>
        <w:t>在岩溶泉域保护范围内新建、改建、扩建建设项目，建设单位在开工前须编制泉域水资源影响评价报告，并经行政审批部门批准。</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Calibri" w:eastAsia="仿宋_GB2312"/>
          <w:sz w:val="32"/>
          <w:szCs w:val="32"/>
        </w:rPr>
      </w:pPr>
      <w:r>
        <w:rPr>
          <w:rFonts w:hint="eastAsia" w:ascii="黑体" w:hAnsi="黑体" w:eastAsia="黑体"/>
          <w:sz w:val="32"/>
          <w:szCs w:val="32"/>
        </w:rPr>
        <w:t>第十四</w:t>
      </w:r>
      <w:r>
        <w:rPr>
          <w:rFonts w:hint="eastAsia" w:ascii="黑体" w:hAnsi="黑体" w:eastAsia="黑体"/>
          <w:sz w:val="32"/>
          <w:szCs w:val="32"/>
        </w:rPr>
        <w:t>条</w:t>
      </w:r>
      <w:r>
        <w:rPr>
          <w:rFonts w:hint="eastAsia" w:ascii="仿宋_GB2312" w:hAnsi="Calibri"/>
          <w:sz w:val="32"/>
          <w:szCs w:val="32"/>
          <w:lang w:eastAsia="zh-CN"/>
        </w:rPr>
        <w:t>　</w:t>
      </w:r>
      <w:r>
        <w:rPr>
          <w:rFonts w:hint="eastAsia" w:ascii="仿宋_GB2312" w:hAnsi="Calibri" w:eastAsia="仿宋_GB2312"/>
          <w:sz w:val="32"/>
          <w:szCs w:val="32"/>
        </w:rPr>
        <w:t>岩溶泉域保护范围内取用地下水、地表水，应当按照权限向行政审批部门提出申请，依法办理取水许可。</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Calibri" w:eastAsia="仿宋_GB2312"/>
          <w:sz w:val="32"/>
          <w:szCs w:val="32"/>
        </w:rPr>
      </w:pPr>
      <w:r>
        <w:rPr>
          <w:rFonts w:hint="eastAsia" w:ascii="黑体" w:hAnsi="黑体" w:eastAsia="黑体"/>
          <w:sz w:val="32"/>
          <w:szCs w:val="32"/>
        </w:rPr>
        <w:t>第十五</w:t>
      </w:r>
      <w:r>
        <w:rPr>
          <w:rFonts w:hint="eastAsia" w:ascii="黑体" w:hAnsi="黑体" w:eastAsia="黑体"/>
          <w:sz w:val="32"/>
          <w:szCs w:val="32"/>
        </w:rPr>
        <w:t>条</w:t>
      </w:r>
      <w:r>
        <w:rPr>
          <w:rFonts w:hint="eastAsia" w:ascii="仿宋_GB2312" w:hAnsi="Calibri"/>
          <w:sz w:val="32"/>
          <w:szCs w:val="32"/>
          <w:lang w:eastAsia="zh-CN"/>
        </w:rPr>
        <w:t>　</w:t>
      </w:r>
      <w:r>
        <w:rPr>
          <w:rFonts w:hint="eastAsia" w:ascii="仿宋_GB2312" w:hAnsi="Calibri" w:eastAsia="仿宋_GB2312"/>
          <w:sz w:val="32"/>
          <w:szCs w:val="32"/>
        </w:rPr>
        <w:t>岩溶泉域保护范围内建设地下水取水工程的单位和个人，应当在申请取水许可时附具地下水取水工程建设方案，并按照取水许可批准文件的要求，委托具有相应专业技术能力的单位进行施工。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Calibri" w:eastAsia="仿宋_GB2312"/>
          <w:sz w:val="32"/>
          <w:szCs w:val="32"/>
        </w:rPr>
      </w:pPr>
      <w:r>
        <w:rPr>
          <w:rFonts w:hint="eastAsia" w:ascii="仿宋_GB2312" w:hAnsi="Calibri" w:eastAsia="仿宋_GB2312"/>
          <w:sz w:val="32"/>
          <w:szCs w:val="32"/>
        </w:rPr>
        <w:t>地下水取水工程的所有权人负责工程的安全监督管理。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Calibri" w:eastAsia="仿宋_GB2312"/>
          <w:sz w:val="32"/>
          <w:szCs w:val="32"/>
        </w:rPr>
      </w:pPr>
      <w:r>
        <w:rPr>
          <w:rFonts w:hint="eastAsia" w:ascii="仿宋_GB2312" w:hAnsi="Calibri" w:eastAsia="仿宋_GB2312"/>
          <w:sz w:val="32"/>
          <w:szCs w:val="32"/>
        </w:rPr>
        <w:t>替代水源能满足生活、生产和生态环境用水的区域，所在县（市、区）人民政府应当采取关井压采等措施，禁止或者限制地下水开采。</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Calibri" w:eastAsia="仿宋_GB2312"/>
          <w:sz w:val="32"/>
          <w:szCs w:val="32"/>
        </w:rPr>
      </w:pPr>
      <w:r>
        <w:rPr>
          <w:rFonts w:hint="eastAsia" w:ascii="黑体" w:hAnsi="黑体" w:eastAsia="黑体"/>
          <w:sz w:val="32"/>
          <w:szCs w:val="32"/>
        </w:rPr>
        <w:t>第十六</w:t>
      </w:r>
      <w:r>
        <w:rPr>
          <w:rFonts w:hint="eastAsia" w:ascii="黑体" w:hAnsi="黑体" w:eastAsia="黑体"/>
          <w:sz w:val="32"/>
          <w:szCs w:val="32"/>
        </w:rPr>
        <w:t>条</w:t>
      </w:r>
      <w:r>
        <w:rPr>
          <w:rFonts w:hint="eastAsia" w:ascii="仿宋_GB2312" w:hAnsi="Calibri"/>
          <w:sz w:val="32"/>
          <w:szCs w:val="32"/>
          <w:lang w:eastAsia="zh-CN"/>
        </w:rPr>
        <w:t>　</w:t>
      </w:r>
      <w:r>
        <w:rPr>
          <w:rFonts w:hint="eastAsia" w:ascii="仿宋_GB2312" w:hAnsi="Calibri" w:eastAsia="仿宋_GB2312"/>
          <w:sz w:val="32"/>
          <w:szCs w:val="32"/>
        </w:rPr>
        <w:t>岩溶泉域保护范围内进行水文地质勘探，应当依法取得自然资源主管部门的勘查许可。监测、勘探建设施工单位开工前应当向有管辖权的水行政主管部门备案。</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sz w:val="32"/>
          <w:szCs w:val="32"/>
        </w:rPr>
      </w:pPr>
      <w:r>
        <w:rPr>
          <w:rFonts w:hint="eastAsia" w:ascii="仿宋_GB2312" w:hAnsi="Calibri" w:eastAsia="仿宋_GB2312"/>
          <w:sz w:val="32"/>
          <w:szCs w:val="32"/>
        </w:rPr>
        <w:t>勘探活动结束后，除需留作长期监测和科学实验的钻孔外，其他钻孔应当限期封闭，未经批准，不得将勘探孔变更为水源井。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Calibri" w:eastAsia="仿宋_GB2312"/>
          <w:sz w:val="32"/>
          <w:szCs w:val="32"/>
        </w:rPr>
      </w:pPr>
      <w:r>
        <w:rPr>
          <w:rFonts w:hint="eastAsia" w:ascii="黑体" w:hAnsi="黑体" w:eastAsia="黑体"/>
          <w:sz w:val="32"/>
          <w:szCs w:val="32"/>
        </w:rPr>
        <w:t>第十七</w:t>
      </w:r>
      <w:r>
        <w:rPr>
          <w:rFonts w:hint="eastAsia" w:ascii="黑体" w:hAnsi="黑体" w:eastAsia="黑体"/>
          <w:sz w:val="32"/>
          <w:szCs w:val="32"/>
        </w:rPr>
        <w:t>条</w:t>
      </w:r>
      <w:r>
        <w:rPr>
          <w:rFonts w:hint="eastAsia" w:ascii="仿宋_GB2312" w:hAnsi="Calibri"/>
          <w:sz w:val="32"/>
          <w:szCs w:val="32"/>
          <w:lang w:eastAsia="zh-CN"/>
        </w:rPr>
        <w:t>　</w:t>
      </w:r>
      <w:r>
        <w:rPr>
          <w:rFonts w:hint="eastAsia" w:ascii="仿宋_GB2312" w:hAnsi="Calibri" w:eastAsia="仿宋_GB2312"/>
          <w:sz w:val="32"/>
          <w:szCs w:val="32"/>
        </w:rPr>
        <w:t>利用岩溶泉域资源开发旅游项目等，应当制定岩溶泉域保护方案，符合水功能区划和水环境保护功能区划的要求，并报项目所在地水行政主管部门备案。</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Calibri" w:eastAsia="仿宋_GB2312"/>
          <w:sz w:val="32"/>
          <w:szCs w:val="32"/>
        </w:rPr>
      </w:pPr>
      <w:r>
        <w:rPr>
          <w:rFonts w:hint="eastAsia" w:ascii="黑体" w:hAnsi="黑体" w:eastAsia="黑体"/>
          <w:sz w:val="32"/>
          <w:szCs w:val="32"/>
        </w:rPr>
        <w:t>第十八</w:t>
      </w:r>
      <w:r>
        <w:rPr>
          <w:rFonts w:hint="eastAsia" w:ascii="黑体" w:hAnsi="黑体" w:eastAsia="黑体"/>
          <w:sz w:val="32"/>
          <w:szCs w:val="32"/>
        </w:rPr>
        <w:t>条</w:t>
      </w:r>
      <w:r>
        <w:rPr>
          <w:rFonts w:hint="eastAsia" w:ascii="仿宋_GB2312" w:hAnsi="Calibri"/>
          <w:sz w:val="32"/>
          <w:szCs w:val="32"/>
          <w:lang w:eastAsia="zh-CN"/>
        </w:rPr>
        <w:t>　</w:t>
      </w:r>
      <w:r>
        <w:rPr>
          <w:rFonts w:hint="eastAsia" w:ascii="仿宋_GB2312" w:hAnsi="Calibri" w:eastAsia="仿宋_GB2312"/>
          <w:sz w:val="32"/>
          <w:szCs w:val="32"/>
        </w:rPr>
        <w:t>市、县（市、区）人民政府应当加强岩溶泉域水环境综合治理，落实海绵城市建设要求，加强城镇污水集中处理设施及配套管网建设。</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Calibri" w:eastAsia="仿宋_GB2312"/>
          <w:sz w:val="32"/>
          <w:szCs w:val="32"/>
        </w:rPr>
      </w:pPr>
      <w:r>
        <w:rPr>
          <w:rFonts w:hint="eastAsia" w:ascii="黑体" w:hAnsi="黑体" w:eastAsia="黑体"/>
          <w:sz w:val="32"/>
          <w:szCs w:val="32"/>
        </w:rPr>
        <w:t>第十九</w:t>
      </w:r>
      <w:r>
        <w:rPr>
          <w:rFonts w:hint="eastAsia" w:ascii="黑体" w:hAnsi="黑体" w:eastAsia="黑体"/>
          <w:sz w:val="32"/>
          <w:szCs w:val="32"/>
        </w:rPr>
        <w:t>条</w:t>
      </w:r>
      <w:r>
        <w:rPr>
          <w:rFonts w:hint="eastAsia" w:ascii="仿宋_GB2312" w:hAnsi="Calibri"/>
          <w:sz w:val="32"/>
          <w:szCs w:val="32"/>
          <w:lang w:eastAsia="zh-CN"/>
        </w:rPr>
        <w:t>　</w:t>
      </w:r>
      <w:r>
        <w:rPr>
          <w:rFonts w:hint="eastAsia" w:ascii="仿宋_GB2312" w:hAnsi="Calibri" w:eastAsia="仿宋_GB2312"/>
          <w:sz w:val="32"/>
          <w:szCs w:val="32"/>
        </w:rPr>
        <w:t>市、县（市、区）人民政府应当统筹规划建设岩溶泉域保护范围内农村污水、垃圾集中统一处理设施，并保障其正常运行。</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Calibri" w:eastAsia="仿宋_GB2312"/>
          <w:sz w:val="32"/>
          <w:szCs w:val="32"/>
        </w:rPr>
      </w:pPr>
      <w:r>
        <w:rPr>
          <w:rFonts w:hint="eastAsia" w:ascii="黑体" w:hAnsi="黑体" w:eastAsia="黑体"/>
          <w:sz w:val="32"/>
          <w:szCs w:val="32"/>
        </w:rPr>
        <w:t>第二十</w:t>
      </w:r>
      <w:r>
        <w:rPr>
          <w:rFonts w:hint="eastAsia" w:ascii="黑体" w:hAnsi="黑体" w:eastAsia="黑体"/>
          <w:sz w:val="32"/>
          <w:szCs w:val="32"/>
        </w:rPr>
        <w:t>条</w:t>
      </w:r>
      <w:r>
        <w:rPr>
          <w:rFonts w:hint="eastAsia" w:ascii="仿宋_GB2312" w:hAnsi="Calibri"/>
          <w:sz w:val="32"/>
          <w:szCs w:val="32"/>
          <w:lang w:eastAsia="zh-CN"/>
        </w:rPr>
        <w:t>　</w:t>
      </w:r>
      <w:r>
        <w:rPr>
          <w:rFonts w:hint="eastAsia" w:ascii="仿宋_GB2312" w:hAnsi="Calibri" w:eastAsia="仿宋_GB2312"/>
          <w:sz w:val="32"/>
          <w:szCs w:val="32"/>
        </w:rPr>
        <w:t>市、县（市、区）人民政府水行政主管部门应当会同自然资源、生态环境、住房和城乡建设等有关部门，完善岩溶泉域水资源监测体系，做好岩溶泉域水资源监测工作。</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Calibri" w:eastAsia="仿宋_GB2312"/>
          <w:sz w:val="32"/>
          <w:szCs w:val="32"/>
        </w:rPr>
      </w:pPr>
      <w:r>
        <w:rPr>
          <w:rFonts w:hint="eastAsia" w:ascii="仿宋_GB2312" w:hAnsi="Calibri" w:eastAsia="仿宋_GB2312"/>
          <w:sz w:val="32"/>
          <w:szCs w:val="32"/>
        </w:rPr>
        <w:t>任何单位和个人不得侵占、毁坏或者擅自移动岩溶泉域水资源监测设施设备及其标志，不得篡改、伪造监测数据。</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Calibri" w:eastAsia="仿宋_GB2312"/>
          <w:sz w:val="32"/>
          <w:szCs w:val="32"/>
        </w:rPr>
      </w:pPr>
      <w:r>
        <w:rPr>
          <w:rFonts w:hint="eastAsia" w:ascii="仿宋_GB2312" w:hAnsi="Calibri" w:eastAsia="仿宋_GB2312"/>
          <w:sz w:val="32"/>
          <w:szCs w:val="32"/>
        </w:rPr>
        <w:t>取水单位或者个人应当保护岩溶泉域水资源监测设施，配合有关部门开展监测工作，不得拒绝提供监测数据或者提供虚假监测数据。</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Calibri" w:eastAsia="仿宋_GB2312"/>
          <w:sz w:val="32"/>
          <w:szCs w:val="32"/>
        </w:rPr>
      </w:pPr>
      <w:r>
        <w:rPr>
          <w:rFonts w:hint="eastAsia" w:ascii="仿宋_GB2312" w:hAnsi="Calibri" w:eastAsia="仿宋_GB2312"/>
          <w:sz w:val="32"/>
          <w:szCs w:val="32"/>
        </w:rPr>
        <w:t>新建、改建、扩建建设工程应当避开岩溶泉域水资源监测设施设备；确实无法避开、需要拆除岩溶泉域水资源监测设施设备的，应由县级以上人民政府水行政、自然资源、生态环境等主管部门按照有关技术要求组织迁建，迁建费用由建设单位承担。</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sz w:val="32"/>
          <w:szCs w:val="32"/>
        </w:rPr>
        <w:t>第二十一</w:t>
      </w:r>
      <w:r>
        <w:rPr>
          <w:rFonts w:hint="eastAsia" w:ascii="黑体" w:hAnsi="黑体" w:eastAsia="黑体"/>
          <w:sz w:val="32"/>
          <w:szCs w:val="32"/>
        </w:rPr>
        <w:t>条</w:t>
      </w:r>
      <w:r>
        <w:rPr>
          <w:rFonts w:hint="eastAsia" w:ascii="仿宋_GB2312" w:hAnsi="Calibri"/>
          <w:sz w:val="32"/>
          <w:szCs w:val="32"/>
          <w:lang w:eastAsia="zh-CN"/>
        </w:rPr>
        <w:t>　</w:t>
      </w:r>
      <w:r>
        <w:rPr>
          <w:rFonts w:hint="eastAsia" w:ascii="仿宋_GB2312" w:hAnsi="Calibri" w:eastAsia="仿宋_GB2312"/>
          <w:sz w:val="32"/>
          <w:szCs w:val="32"/>
        </w:rPr>
        <w:t>市、县（市、区）人民政府应当对破坏岩溶地下水系统、危及岩溶地下水续存的采矿活动，依法采取限制开采、责令停止开采或者封闭矿井等措施；对直接影响岩溶泉域水资源的取水工程，依法采取限量取水、停止取水或者封闭措施。关闭前所产生的工业废水、矿坑水和其他废弃物，排放企业应当在规定的期限内进行治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sz w:val="32"/>
          <w:szCs w:val="32"/>
        </w:rPr>
      </w:pPr>
      <w:r>
        <w:rPr>
          <w:rFonts w:hint="eastAsia" w:ascii="黑体" w:hAnsi="黑体" w:eastAsia="黑体"/>
          <w:sz w:val="32"/>
          <w:szCs w:val="32"/>
        </w:rPr>
        <w:t>第二十二</w:t>
      </w:r>
      <w:r>
        <w:rPr>
          <w:rFonts w:hint="eastAsia" w:ascii="黑体" w:hAnsi="黑体" w:eastAsia="黑体"/>
          <w:sz w:val="32"/>
          <w:szCs w:val="32"/>
        </w:rPr>
        <w:t>条</w:t>
      </w:r>
      <w:r>
        <w:rPr>
          <w:rFonts w:hint="eastAsia" w:ascii="仿宋_GB2312" w:hAnsi="Calibri"/>
          <w:sz w:val="32"/>
          <w:szCs w:val="32"/>
          <w:lang w:eastAsia="zh-CN"/>
        </w:rPr>
        <w:t>　</w:t>
      </w:r>
      <w:r>
        <w:rPr>
          <w:rFonts w:hint="eastAsia" w:ascii="仿宋_GB2312" w:hAnsi="Calibri" w:eastAsia="仿宋_GB2312"/>
          <w:sz w:val="32"/>
          <w:szCs w:val="32"/>
        </w:rPr>
        <w:t>市、县（市、区）人民政府应当在岩溶泉域保护范围内采取植树造林、工程补水等措施保持水土、涵养水源。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Calibri" w:eastAsia="仿宋_GB2312"/>
          <w:sz w:val="32"/>
          <w:szCs w:val="32"/>
        </w:rPr>
      </w:pPr>
      <w:r>
        <w:rPr>
          <w:rFonts w:hint="eastAsia" w:ascii="黑体" w:hAnsi="黑体" w:eastAsia="黑体"/>
          <w:sz w:val="32"/>
          <w:szCs w:val="32"/>
        </w:rPr>
        <w:t>第二十三</w:t>
      </w:r>
      <w:r>
        <w:rPr>
          <w:rFonts w:hint="eastAsia" w:ascii="黑体" w:hAnsi="黑体" w:eastAsia="黑体"/>
          <w:sz w:val="32"/>
          <w:szCs w:val="32"/>
        </w:rPr>
        <w:t>条</w:t>
      </w:r>
      <w:r>
        <w:rPr>
          <w:rFonts w:hint="eastAsia" w:ascii="仿宋_GB2312" w:hAnsi="Calibri"/>
          <w:sz w:val="32"/>
          <w:szCs w:val="32"/>
          <w:lang w:eastAsia="zh-CN"/>
        </w:rPr>
        <w:t>　</w:t>
      </w:r>
      <w:r>
        <w:rPr>
          <w:rFonts w:hint="eastAsia" w:ascii="仿宋_GB2312" w:hAnsi="Calibri" w:eastAsia="仿宋_GB2312"/>
          <w:sz w:val="32"/>
          <w:szCs w:val="32"/>
        </w:rPr>
        <w:t>任何单位和个人都有权依法制止和举报损害岩溶泉域水资源保护的行为和破坏岩溶泉域水资源监测、保护标志、提示标识等设施的行为。</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Calibri" w:eastAsia="仿宋_GB2312"/>
          <w:sz w:val="32"/>
          <w:szCs w:val="32"/>
        </w:rPr>
      </w:pPr>
      <w:r>
        <w:rPr>
          <w:rFonts w:hint="eastAsia" w:ascii="仿宋_GB2312" w:hAnsi="Calibri" w:eastAsia="仿宋_GB2312"/>
          <w:sz w:val="32"/>
          <w:szCs w:val="32"/>
        </w:rPr>
        <w:t>市、县（市、区）人民政府水行政主管部门应当完善投诉举报受理机制，依法处理投诉举报。</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Calibri" w:eastAsia="仿宋_GB2312"/>
          <w:sz w:val="32"/>
          <w:szCs w:val="32"/>
        </w:rPr>
      </w:pPr>
      <w:r>
        <w:rPr>
          <w:rFonts w:hint="eastAsia" w:ascii="黑体" w:hAnsi="黑体" w:eastAsia="黑体"/>
          <w:sz w:val="32"/>
          <w:szCs w:val="32"/>
        </w:rPr>
        <w:t>第二十四</w:t>
      </w:r>
      <w:r>
        <w:rPr>
          <w:rFonts w:hint="eastAsia" w:ascii="黑体" w:hAnsi="黑体" w:eastAsia="黑体"/>
          <w:sz w:val="32"/>
          <w:szCs w:val="32"/>
        </w:rPr>
        <w:t>条</w:t>
      </w:r>
      <w:r>
        <w:rPr>
          <w:rFonts w:hint="eastAsia" w:ascii="仿宋_GB2312" w:hAnsi="Calibri"/>
          <w:sz w:val="32"/>
          <w:szCs w:val="32"/>
          <w:lang w:eastAsia="zh-CN"/>
        </w:rPr>
        <w:t>　</w:t>
      </w:r>
      <w:r>
        <w:rPr>
          <w:rFonts w:hint="eastAsia" w:ascii="仿宋_GB2312" w:hAnsi="Calibri" w:eastAsia="仿宋_GB2312"/>
          <w:sz w:val="32"/>
          <w:szCs w:val="32"/>
        </w:rPr>
        <w:t>违反本条例规定，法律、行政法规、省人民代表大会及其常务委员会制定的地方性法规已有法律责任规定的，从其规定。</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Calibri" w:eastAsia="仿宋_GB2312"/>
          <w:sz w:val="32"/>
          <w:szCs w:val="32"/>
        </w:rPr>
      </w:pPr>
      <w:r>
        <w:rPr>
          <w:rFonts w:hint="eastAsia" w:ascii="黑体" w:hAnsi="黑体" w:eastAsia="黑体"/>
          <w:sz w:val="32"/>
          <w:szCs w:val="32"/>
        </w:rPr>
        <w:t>第二十五</w:t>
      </w:r>
      <w:r>
        <w:rPr>
          <w:rFonts w:hint="eastAsia" w:ascii="黑体" w:hAnsi="黑体" w:eastAsia="黑体"/>
          <w:sz w:val="32"/>
          <w:szCs w:val="32"/>
        </w:rPr>
        <w:t>条</w:t>
      </w:r>
      <w:r>
        <w:rPr>
          <w:rFonts w:hint="eastAsia" w:ascii="仿宋_GB2312" w:hAnsi="Calibri"/>
          <w:sz w:val="32"/>
          <w:szCs w:val="32"/>
          <w:lang w:eastAsia="zh-CN"/>
        </w:rPr>
        <w:t>　</w:t>
      </w:r>
      <w:r>
        <w:rPr>
          <w:rFonts w:hint="eastAsia" w:ascii="仿宋_GB2312" w:hAnsi="Calibri" w:eastAsia="仿宋_GB2312"/>
          <w:sz w:val="32"/>
          <w:szCs w:val="32"/>
        </w:rPr>
        <w:t>国家机关工作人员在岩溶泉域水资源保护管理工作中玩忽职守、滥用职权、徇私舞弊的，依法给予处分；构成犯罪的，依法追究刑事责任。</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sz w:val="32"/>
          <w:szCs w:val="32"/>
          <w:lang w:val="en-US" w:eastAsia="zh-CN"/>
        </w:rPr>
      </w:pPr>
      <w:r>
        <w:rPr>
          <w:rFonts w:hint="eastAsia" w:ascii="黑体" w:hAnsi="黑体" w:eastAsia="黑体"/>
          <w:sz w:val="32"/>
          <w:szCs w:val="32"/>
        </w:rPr>
        <w:t>第二十六条</w:t>
      </w:r>
      <w:r>
        <w:rPr>
          <w:rFonts w:hint="eastAsia" w:ascii="仿宋_GB2312" w:hAnsi="Calibri"/>
          <w:sz w:val="32"/>
          <w:szCs w:val="32"/>
          <w:lang w:eastAsia="zh-CN"/>
        </w:rPr>
        <w:t>　</w:t>
      </w:r>
      <w:r>
        <w:rPr>
          <w:rFonts w:hint="eastAsia" w:ascii="仿宋_GB2312" w:hAnsi="Calibri" w:eastAsia="仿宋_GB2312"/>
          <w:sz w:val="32"/>
          <w:szCs w:val="32"/>
        </w:rPr>
        <w:t>本条例</w:t>
      </w:r>
      <w:r>
        <w:rPr>
          <w:rFonts w:hint="default" w:ascii="Times New Roman" w:hAnsi="Times New Roman" w:eastAsia="仿宋_GB2312" w:cs="Times New Roman"/>
          <w:sz w:val="32"/>
          <w:szCs w:val="32"/>
        </w:rPr>
        <w:t>自2023年7月1日起</w:t>
      </w:r>
      <w:r>
        <w:rPr>
          <w:rFonts w:hint="eastAsia" w:ascii="仿宋_GB2312" w:hAnsi="Calibri" w:eastAsia="仿宋_GB2312"/>
          <w:sz w:val="32"/>
          <w:szCs w:val="32"/>
        </w:rPr>
        <w:t>施行。</w:t>
      </w: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80F3C52" w:usb2="00000016" w:usb3="00000000" w:csb0="0004001F" w:csb1="00000000"/>
  </w:font>
  <w:font w:name="方正小标宋简体">
    <w:altName w:val="仿宋_GB2312"/>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4C82992"/>
    <w:rsid w:val="0C41270B"/>
    <w:rsid w:val="0D126CB6"/>
    <w:rsid w:val="0D9804AC"/>
    <w:rsid w:val="11CC6C38"/>
    <w:rsid w:val="11E4354D"/>
    <w:rsid w:val="16BA5F81"/>
    <w:rsid w:val="174A3E64"/>
    <w:rsid w:val="1BAA0046"/>
    <w:rsid w:val="1BAB226E"/>
    <w:rsid w:val="1C8D55CF"/>
    <w:rsid w:val="21571E02"/>
    <w:rsid w:val="30FC51C2"/>
    <w:rsid w:val="3152520E"/>
    <w:rsid w:val="32A50F33"/>
    <w:rsid w:val="3461797E"/>
    <w:rsid w:val="380405EF"/>
    <w:rsid w:val="392D1EC7"/>
    <w:rsid w:val="3AAA561F"/>
    <w:rsid w:val="3DE63740"/>
    <w:rsid w:val="424E1FBF"/>
    <w:rsid w:val="46DD1C51"/>
    <w:rsid w:val="481351D2"/>
    <w:rsid w:val="4B3D4C26"/>
    <w:rsid w:val="53543565"/>
    <w:rsid w:val="558A062C"/>
    <w:rsid w:val="58C21572"/>
    <w:rsid w:val="5CA579E9"/>
    <w:rsid w:val="5DB82D9D"/>
    <w:rsid w:val="5F981276"/>
    <w:rsid w:val="622F12CF"/>
    <w:rsid w:val="653E08AD"/>
    <w:rsid w:val="669E7FD2"/>
    <w:rsid w:val="68EA5751"/>
    <w:rsid w:val="71B9247E"/>
    <w:rsid w:val="72D85BB8"/>
    <w:rsid w:val="77277FE3"/>
    <w:rsid w:val="788C2381"/>
    <w:rsid w:val="7F47D4FE"/>
    <w:rsid w:val="7F6714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semiHidden/>
    <w:unhideWhenUsed/>
    <w:qFormat/>
    <w:uiPriority w:val="99"/>
    <w:pPr>
      <w:widowControl w:val="0"/>
      <w:spacing w:after="120" w:afterLines="0" w:afterAutospacing="0"/>
      <w:jc w:val="both"/>
    </w:pPr>
    <w:rPr>
      <w:rFonts w:ascii="Times New Roman" w:hAnsi="Times New Roman" w:eastAsia="宋体" w:cs="Times New Roman"/>
      <w:kern w:val="2"/>
      <w:sz w:val="21"/>
      <w:szCs w:val="24"/>
      <w:lang w:val="en-US" w:eastAsia="zh-CN" w:bidi="ar-SA"/>
    </w:rPr>
  </w:style>
  <w:style w:type="paragraph" w:styleId="3">
    <w:name w:val="Normal Indent"/>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4">
    <w:name w:val="Body Text Indent"/>
    <w:qFormat/>
    <w:uiPriority w:val="0"/>
    <w:pPr>
      <w:widowControl w:val="0"/>
      <w:spacing w:after="120"/>
      <w:ind w:left="420" w:leftChars="200"/>
      <w:jc w:val="both"/>
    </w:pPr>
    <w:rPr>
      <w:rFonts w:ascii="Garamond" w:hAnsi="Garamond" w:eastAsia="仿宋" w:cs="Times New Roman"/>
      <w:kern w:val="2"/>
      <w:sz w:val="32"/>
      <w:szCs w:val="24"/>
      <w:lang w:val="en-US" w:eastAsia="zh-CN" w:bidi="ar-SA"/>
    </w:rPr>
  </w:style>
  <w:style w:type="paragraph" w:styleId="5">
    <w:name w:val="Plain Text"/>
    <w:basedOn w:val="1"/>
    <w:qFormat/>
    <w:uiPriority w:val="0"/>
    <w:rPr>
      <w:rFonts w:ascii="宋体" w:cs="Courier New"/>
      <w:szCs w:val="21"/>
    </w:rPr>
  </w:style>
  <w:style w:type="paragraph" w:styleId="6">
    <w:name w:val="footer"/>
    <w:basedOn w:val="1"/>
    <w:next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w:qFormat/>
    <w:uiPriority w:val="0"/>
    <w:pPr>
      <w:widowControl w:val="0"/>
      <w:ind w:left="200" w:hanging="200" w:hangingChars="200"/>
      <w:jc w:val="both"/>
    </w:pPr>
    <w:rPr>
      <w:rFonts w:ascii="Times New Roman" w:hAnsi="Times New Roman" w:eastAsia="仿宋_GB2312" w:cs="Times New Roman"/>
      <w:kern w:val="2"/>
      <w:sz w:val="32"/>
      <w:szCs w:val="24"/>
      <w:lang w:val="en-US" w:eastAsia="zh-CN" w:bidi="ar-SA"/>
    </w:rPr>
  </w:style>
  <w:style w:type="paragraph" w:styleId="9">
    <w:name w:val="Body Text First Indent 2"/>
    <w:next w:val="1"/>
    <w:unhideWhenUsed/>
    <w:qFormat/>
    <w:uiPriority w:val="99"/>
    <w:pPr>
      <w:widowControl w:val="0"/>
      <w:spacing w:after="120"/>
      <w:ind w:left="420" w:leftChars="200" w:firstLine="420" w:firstLineChars="200"/>
      <w:jc w:val="both"/>
    </w:pPr>
    <w:rPr>
      <w:rFonts w:ascii="Garamond" w:hAnsi="Garamond" w:eastAsia="仿宋" w:cs="Times New Roman"/>
      <w:kern w:val="2"/>
      <w:sz w:val="32"/>
      <w:szCs w:val="24"/>
      <w:lang w:val="en-US" w:eastAsia="zh-CN" w:bidi="ar-SA"/>
    </w:rPr>
  </w:style>
  <w:style w:type="character" w:styleId="12">
    <w:name w:val="page number"/>
    <w:qFormat/>
    <w:uiPriority w:val="0"/>
  </w:style>
  <w:style w:type="character" w:styleId="13">
    <w:name w:val="FollowedHyperlink"/>
    <w:unhideWhenUsed/>
    <w:qFormat/>
    <w:uiPriority w:val="99"/>
    <w:rPr>
      <w:color w:val="954F72"/>
      <w:u w:val="single"/>
    </w:rPr>
  </w:style>
  <w:style w:type="character" w:styleId="14">
    <w:name w:val="Hyperlink"/>
    <w:qFormat/>
    <w:uiPriority w:val="99"/>
    <w:rPr>
      <w:rFonts w:hint="default" w:ascii="ˎ̥" w:hAnsi="ˎ̥"/>
      <w:color w:val="0404B3"/>
      <w:sz w:val="18"/>
      <w:szCs w:val="18"/>
      <w:u w:val="none"/>
    </w:rPr>
  </w:style>
  <w:style w:type="paragraph" w:customStyle="1" w:styleId="15">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16">
    <w:name w:val="页脚 字符"/>
    <w:link w:val="6"/>
    <w:qFormat/>
    <w:uiPriority w:val="99"/>
    <w:rPr>
      <w:sz w:val="18"/>
      <w:szCs w:val="18"/>
    </w:rPr>
  </w:style>
  <w:style w:type="character" w:customStyle="1" w:styleId="17">
    <w:name w:val="页眉 字符"/>
    <w:link w:val="7"/>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2847</Words>
  <Characters>2857</Characters>
  <Lines>1</Lines>
  <Paragraphs>1</Paragraphs>
  <TotalTime>5</TotalTime>
  <ScaleCrop>false</ScaleCrop>
  <LinksUpToDate>false</LinksUpToDate>
  <CharactersWithSpaces>2889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2023-09-10T10:16:54Z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