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Style w:val="14"/>
          <w:rFonts w:hint="eastAsia" w:ascii="宋体" w:hAnsi="宋体" w:eastAsia="宋体" w:cs="宋体"/>
          <w:snapToGrid/>
          <w:spacing w:val="0"/>
          <w:kern w:val="2"/>
        </w:rPr>
      </w:pPr>
    </w:p>
    <w:p>
      <w:pPr>
        <w:pStyle w:val="2"/>
        <w:ind w:left="0" w:leftChars="0" w:firstLine="0" w:firstLineChars="0"/>
        <w:rPr>
          <w:rFonts w:hint="eastAsia" w:asciiTheme="minorEastAsia" w:hAnsiTheme="minorEastAsia" w:eastAsiaTheme="minorEastAsia" w:cstheme="minorEastAsi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napToGrid/>
          <w:color w:val="000000"/>
          <w:spacing w:val="0"/>
          <w:kern w:val="2"/>
          <w:sz w:val="44"/>
          <w:szCs w:val="44"/>
        </w:rPr>
      </w:pPr>
      <w:r>
        <w:rPr>
          <w:rFonts w:hint="eastAsia" w:asciiTheme="minorEastAsia" w:hAnsiTheme="minorEastAsia" w:eastAsiaTheme="minorEastAsia" w:cstheme="minorEastAsia"/>
          <w:snapToGrid/>
          <w:color w:val="000000"/>
          <w:spacing w:val="0"/>
          <w:kern w:val="2"/>
          <w:sz w:val="44"/>
          <w:szCs w:val="44"/>
        </w:rPr>
        <w:t>合肥市科学技术普及条例</w:t>
      </w:r>
    </w:p>
    <w:p>
      <w:pPr>
        <w:pStyle w:val="9"/>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color w:val="000000"/>
          <w:spacing w:val="0"/>
          <w:kern w:val="2"/>
          <w:szCs w:val="32"/>
        </w:rPr>
      </w:pPr>
    </w:p>
    <w:p>
      <w:pPr>
        <w:pStyle w:val="9"/>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default" w:ascii="Times New Roman" w:hAnsi="Times New Roman" w:eastAsia="楷体_GB2312" w:cs="Times New Roman"/>
          <w:snapToGrid/>
          <w:color w:val="000000"/>
          <w:spacing w:val="0"/>
          <w:kern w:val="2"/>
          <w:szCs w:val="32"/>
        </w:rPr>
      </w:pPr>
      <w:r>
        <w:rPr>
          <w:rFonts w:hint="default" w:ascii="Times New Roman" w:hAnsi="Times New Roman" w:eastAsia="楷体_GB2312" w:cs="Times New Roman"/>
          <w:snapToGrid/>
          <w:color w:val="000000"/>
          <w:spacing w:val="0"/>
          <w:kern w:val="2"/>
          <w:szCs w:val="32"/>
        </w:rPr>
        <w:t>（2023年4月26日合肥市第十七届人民代表大会常务委员会第九次会议通过</w:t>
      </w:r>
      <w:r>
        <w:rPr>
          <w:rFonts w:hint="default" w:ascii="Times New Roman" w:hAnsi="Times New Roman" w:eastAsia="楷体_GB2312" w:cs="Times New Roman"/>
          <w:snapToGrid/>
          <w:color w:val="000000"/>
          <w:spacing w:val="0"/>
          <w:kern w:val="2"/>
          <w:szCs w:val="32"/>
          <w:lang w:val="en-US" w:eastAsia="zh-CN"/>
        </w:rPr>
        <w:t>　</w:t>
      </w:r>
      <w:r>
        <w:rPr>
          <w:rStyle w:val="15"/>
          <w:rFonts w:hint="default" w:ascii="Times New Roman" w:hAnsi="Times New Roman" w:eastAsia="楷体_GB2312" w:cs="Times New Roman"/>
          <w:b w:val="0"/>
          <w:bCs w:val="0"/>
          <w:snapToGrid/>
          <w:color w:val="auto"/>
          <w:spacing w:val="0"/>
          <w:kern w:val="2"/>
          <w:sz w:val="32"/>
          <w:szCs w:val="32"/>
          <w:lang w:val="en-US" w:eastAsia="zh-CN"/>
        </w:rPr>
        <w:t>2023年5月26日安徽省第十四届人民代表大会常务委员会第二次会议批准</w:t>
      </w:r>
      <w:r>
        <w:rPr>
          <w:rFonts w:hint="default" w:ascii="Times New Roman" w:hAnsi="Times New Roman" w:eastAsia="楷体_GB2312" w:cs="Times New Roman"/>
          <w:snapToGrid/>
          <w:color w:val="000000"/>
          <w:spacing w:val="0"/>
          <w:kern w:val="2"/>
          <w:szCs w:val="32"/>
        </w:rPr>
        <w:t>）</w:t>
      </w:r>
    </w:p>
    <w:p>
      <w:pPr>
        <w:pStyle w:val="9"/>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color w:val="000000"/>
          <w:spacing w:val="0"/>
          <w:kern w:val="2"/>
          <w:szCs w:val="32"/>
        </w:rPr>
      </w:pPr>
    </w:p>
    <w:p>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楷体_GB2312" w:cs="仿宋_GB2312"/>
          <w:snapToGrid/>
          <w:color w:val="000000"/>
          <w:spacing w:val="0"/>
          <w:kern w:val="2"/>
          <w:szCs w:val="32"/>
        </w:rPr>
      </w:pPr>
      <w:r>
        <w:rPr>
          <w:rFonts w:hint="eastAsia" w:eastAsia="楷体_GB2312" w:cs="仿宋_GB2312"/>
          <w:snapToGrid/>
          <w:color w:val="000000"/>
          <w:spacing w:val="0"/>
          <w:kern w:val="2"/>
          <w:szCs w:val="32"/>
        </w:rPr>
        <w:t>目</w:t>
      </w:r>
      <w:r>
        <w:rPr>
          <w:rFonts w:hint="eastAsia" w:eastAsia="楷体_GB2312" w:cs="仿宋_GB2312"/>
          <w:snapToGrid/>
          <w:color w:val="000000"/>
          <w:spacing w:val="0"/>
          <w:kern w:val="2"/>
          <w:szCs w:val="32"/>
          <w:lang w:val="en-US" w:eastAsia="zh-CN"/>
        </w:rPr>
        <w:t>　　</w:t>
      </w:r>
      <w:r>
        <w:rPr>
          <w:rFonts w:hint="eastAsia" w:eastAsia="楷体_GB2312" w:cs="仿宋_GB2312"/>
          <w:snapToGrid/>
          <w:color w:val="000000"/>
          <w:spacing w:val="0"/>
          <w:kern w:val="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eastAsia="楷体_GB2312" w:cs="仿宋_GB2312"/>
          <w:snapToGrid/>
          <w:color w:val="000000"/>
          <w:spacing w:val="0"/>
          <w:kern w:val="2"/>
          <w:sz w:val="32"/>
          <w:szCs w:val="32"/>
        </w:rPr>
      </w:pPr>
      <w:r>
        <w:rPr>
          <w:rFonts w:hint="eastAsia" w:eastAsia="楷体_GB2312" w:cs="仿宋_GB2312"/>
          <w:snapToGrid/>
          <w:color w:val="000000"/>
          <w:spacing w:val="0"/>
          <w:kern w:val="2"/>
          <w:sz w:val="32"/>
          <w:szCs w:val="32"/>
        </w:rPr>
        <w:t>第一章</w:t>
      </w:r>
      <w:r>
        <w:rPr>
          <w:rFonts w:hint="eastAsia" w:eastAsia="楷体_GB2312" w:cs="仿宋_GB2312"/>
          <w:snapToGrid/>
          <w:color w:val="000000"/>
          <w:spacing w:val="0"/>
          <w:kern w:val="2"/>
          <w:sz w:val="32"/>
          <w:szCs w:val="32"/>
          <w:lang w:eastAsia="zh-CN"/>
        </w:rPr>
        <w:t>　</w:t>
      </w:r>
      <w:r>
        <w:rPr>
          <w:rFonts w:hint="eastAsia" w:eastAsia="楷体_GB2312" w:cs="仿宋_GB2312"/>
          <w:snapToGrid/>
          <w:color w:val="000000"/>
          <w:spacing w:val="0"/>
          <w:kern w:val="2"/>
          <w:sz w:val="32"/>
          <w:szCs w:val="32"/>
        </w:rPr>
        <w:t>总</w:t>
      </w:r>
      <w:r>
        <w:rPr>
          <w:rFonts w:hint="eastAsia" w:eastAsia="楷体_GB2312" w:cs="仿宋_GB2312"/>
          <w:snapToGrid/>
          <w:color w:val="000000"/>
          <w:spacing w:val="0"/>
          <w:kern w:val="2"/>
          <w:sz w:val="32"/>
          <w:szCs w:val="32"/>
          <w:lang w:eastAsia="zh-CN"/>
        </w:rPr>
        <w:t>　　</w:t>
      </w:r>
      <w:r>
        <w:rPr>
          <w:rFonts w:hint="eastAsia" w:eastAsia="楷体_GB2312" w:cs="仿宋_GB2312"/>
          <w:snapToGrid/>
          <w:color w:val="000000"/>
          <w:spacing w:val="0"/>
          <w:kern w:val="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eastAsia="楷体_GB2312" w:cs="仿宋_GB2312"/>
          <w:snapToGrid/>
          <w:color w:val="000000"/>
          <w:spacing w:val="0"/>
          <w:kern w:val="2"/>
          <w:sz w:val="32"/>
          <w:szCs w:val="32"/>
        </w:rPr>
      </w:pPr>
      <w:r>
        <w:rPr>
          <w:rFonts w:hint="eastAsia" w:eastAsia="楷体_GB2312" w:cs="仿宋_GB2312"/>
          <w:snapToGrid/>
          <w:color w:val="000000"/>
          <w:spacing w:val="0"/>
          <w:kern w:val="2"/>
          <w:sz w:val="32"/>
          <w:szCs w:val="32"/>
        </w:rPr>
        <w:t>第二章</w:t>
      </w:r>
      <w:r>
        <w:rPr>
          <w:rFonts w:hint="eastAsia" w:eastAsia="楷体_GB2312" w:cs="仿宋_GB2312"/>
          <w:snapToGrid/>
          <w:color w:val="000000"/>
          <w:spacing w:val="0"/>
          <w:kern w:val="2"/>
          <w:sz w:val="32"/>
          <w:szCs w:val="32"/>
          <w:lang w:eastAsia="zh-CN"/>
        </w:rPr>
        <w:t>　</w:t>
      </w:r>
      <w:r>
        <w:rPr>
          <w:rFonts w:hint="eastAsia" w:eastAsia="楷体_GB2312" w:cs="仿宋_GB2312"/>
          <w:snapToGrid/>
          <w:color w:val="000000"/>
          <w:spacing w:val="0"/>
          <w:kern w:val="2"/>
          <w:sz w:val="32"/>
          <w:szCs w:val="32"/>
        </w:rPr>
        <w:t>组织实施</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eastAsia="楷体_GB2312" w:cs="仿宋_GB2312"/>
          <w:snapToGrid/>
          <w:color w:val="000000"/>
          <w:spacing w:val="0"/>
          <w:kern w:val="2"/>
          <w:sz w:val="32"/>
          <w:szCs w:val="32"/>
        </w:rPr>
      </w:pPr>
      <w:r>
        <w:rPr>
          <w:rFonts w:hint="eastAsia" w:eastAsia="楷体_GB2312" w:cs="仿宋_GB2312"/>
          <w:snapToGrid/>
          <w:color w:val="000000"/>
          <w:spacing w:val="0"/>
          <w:kern w:val="2"/>
          <w:sz w:val="32"/>
          <w:szCs w:val="32"/>
        </w:rPr>
        <w:t>第三章</w:t>
      </w:r>
      <w:r>
        <w:rPr>
          <w:rFonts w:hint="eastAsia" w:eastAsia="楷体_GB2312" w:cs="仿宋_GB2312"/>
          <w:snapToGrid/>
          <w:color w:val="000000"/>
          <w:spacing w:val="0"/>
          <w:kern w:val="2"/>
          <w:sz w:val="32"/>
          <w:szCs w:val="32"/>
          <w:lang w:eastAsia="zh-CN"/>
        </w:rPr>
        <w:t>　</w:t>
      </w:r>
      <w:r>
        <w:rPr>
          <w:rFonts w:hint="eastAsia" w:eastAsia="楷体_GB2312" w:cs="仿宋_GB2312"/>
          <w:snapToGrid/>
          <w:color w:val="000000"/>
          <w:spacing w:val="0"/>
          <w:kern w:val="2"/>
          <w:sz w:val="32"/>
          <w:szCs w:val="32"/>
        </w:rPr>
        <w:t>科普活动</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eastAsia="楷体_GB2312" w:cs="仿宋_GB2312"/>
          <w:snapToGrid/>
          <w:color w:val="000000"/>
          <w:spacing w:val="0"/>
          <w:kern w:val="2"/>
          <w:sz w:val="32"/>
          <w:szCs w:val="32"/>
        </w:rPr>
      </w:pPr>
      <w:r>
        <w:rPr>
          <w:rFonts w:hint="eastAsia" w:eastAsia="楷体_GB2312" w:cs="仿宋_GB2312"/>
          <w:snapToGrid/>
          <w:color w:val="000000"/>
          <w:spacing w:val="0"/>
          <w:kern w:val="2"/>
          <w:sz w:val="32"/>
          <w:szCs w:val="32"/>
        </w:rPr>
        <w:t>第四章</w:t>
      </w:r>
      <w:r>
        <w:rPr>
          <w:rFonts w:hint="eastAsia" w:eastAsia="楷体_GB2312" w:cs="仿宋_GB2312"/>
          <w:snapToGrid/>
          <w:color w:val="000000"/>
          <w:spacing w:val="0"/>
          <w:kern w:val="2"/>
          <w:sz w:val="32"/>
          <w:szCs w:val="32"/>
          <w:lang w:eastAsia="zh-CN"/>
        </w:rPr>
        <w:t>　</w:t>
      </w:r>
      <w:r>
        <w:rPr>
          <w:rFonts w:hint="eastAsia" w:eastAsia="楷体_GB2312" w:cs="仿宋_GB2312"/>
          <w:snapToGrid/>
          <w:color w:val="000000"/>
          <w:spacing w:val="0"/>
          <w:kern w:val="2"/>
          <w:sz w:val="32"/>
          <w:szCs w:val="32"/>
        </w:rPr>
        <w:t>科普资源</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eastAsia="楷体_GB2312" w:cs="仿宋_GB2312"/>
          <w:snapToGrid/>
          <w:color w:val="000000"/>
          <w:spacing w:val="0"/>
          <w:kern w:val="2"/>
          <w:sz w:val="32"/>
          <w:szCs w:val="32"/>
        </w:rPr>
      </w:pPr>
      <w:r>
        <w:rPr>
          <w:rFonts w:hint="eastAsia" w:eastAsia="楷体_GB2312" w:cs="仿宋_GB2312"/>
          <w:snapToGrid/>
          <w:color w:val="000000"/>
          <w:spacing w:val="0"/>
          <w:kern w:val="2"/>
          <w:sz w:val="32"/>
          <w:szCs w:val="32"/>
        </w:rPr>
        <w:t>第五章</w:t>
      </w:r>
      <w:r>
        <w:rPr>
          <w:rFonts w:hint="eastAsia" w:eastAsia="楷体_GB2312" w:cs="仿宋_GB2312"/>
          <w:snapToGrid/>
          <w:color w:val="000000"/>
          <w:spacing w:val="0"/>
          <w:kern w:val="2"/>
          <w:sz w:val="32"/>
          <w:szCs w:val="32"/>
          <w:lang w:eastAsia="zh-CN"/>
        </w:rPr>
        <w:t>　</w:t>
      </w:r>
      <w:r>
        <w:rPr>
          <w:rFonts w:hint="eastAsia" w:eastAsia="楷体_GB2312" w:cs="仿宋_GB2312"/>
          <w:snapToGrid/>
          <w:color w:val="000000"/>
          <w:spacing w:val="0"/>
          <w:kern w:val="2"/>
          <w:sz w:val="32"/>
          <w:szCs w:val="32"/>
        </w:rPr>
        <w:t>科普保障</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eastAsia="楷体_GB2312" w:cs="仿宋_GB2312"/>
          <w:snapToGrid/>
          <w:color w:val="000000"/>
          <w:spacing w:val="0"/>
          <w:kern w:val="2"/>
          <w:sz w:val="32"/>
          <w:szCs w:val="32"/>
        </w:rPr>
      </w:pPr>
      <w:r>
        <w:rPr>
          <w:rFonts w:hint="eastAsia" w:eastAsia="楷体_GB2312" w:cs="仿宋_GB2312"/>
          <w:snapToGrid/>
          <w:color w:val="000000"/>
          <w:spacing w:val="0"/>
          <w:kern w:val="2"/>
          <w:sz w:val="32"/>
          <w:szCs w:val="32"/>
        </w:rPr>
        <w:t>第六章</w:t>
      </w:r>
      <w:r>
        <w:rPr>
          <w:rFonts w:hint="eastAsia" w:eastAsia="楷体_GB2312" w:cs="仿宋_GB2312"/>
          <w:snapToGrid/>
          <w:color w:val="000000"/>
          <w:spacing w:val="0"/>
          <w:kern w:val="2"/>
          <w:sz w:val="32"/>
          <w:szCs w:val="32"/>
          <w:lang w:eastAsia="zh-CN"/>
        </w:rPr>
        <w:t>　</w:t>
      </w:r>
      <w:r>
        <w:rPr>
          <w:rFonts w:hint="eastAsia" w:eastAsia="楷体_GB2312" w:cs="仿宋_GB2312"/>
          <w:snapToGrid/>
          <w:color w:val="000000"/>
          <w:spacing w:val="0"/>
          <w:kern w:val="2"/>
          <w:sz w:val="32"/>
          <w:szCs w:val="32"/>
        </w:rPr>
        <w:t>附</w:t>
      </w:r>
      <w:r>
        <w:rPr>
          <w:rFonts w:hint="eastAsia" w:eastAsia="楷体_GB2312" w:cs="仿宋_GB2312"/>
          <w:snapToGrid/>
          <w:color w:val="000000"/>
          <w:spacing w:val="0"/>
          <w:kern w:val="2"/>
          <w:sz w:val="32"/>
          <w:szCs w:val="32"/>
          <w:lang w:eastAsia="zh-CN"/>
        </w:rPr>
        <w:t>　　</w:t>
      </w:r>
      <w:r>
        <w:rPr>
          <w:rFonts w:hint="eastAsia" w:eastAsia="楷体_GB2312" w:cs="仿宋_GB2312"/>
          <w:snapToGrid/>
          <w:color w:val="000000"/>
          <w:spacing w:val="0"/>
          <w:kern w:val="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napToGrid/>
          <w:color w:val="000000"/>
          <w:spacing w:val="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黑体"/>
          <w:snapToGrid/>
          <w:color w:val="000000"/>
          <w:spacing w:val="0"/>
          <w:kern w:val="2"/>
          <w:sz w:val="32"/>
          <w:szCs w:val="32"/>
        </w:rPr>
      </w:pPr>
      <w:r>
        <w:rPr>
          <w:rFonts w:eastAsia="黑体"/>
          <w:snapToGrid/>
          <w:color w:val="000000"/>
          <w:spacing w:val="0"/>
          <w:kern w:val="2"/>
          <w:sz w:val="32"/>
          <w:szCs w:val="32"/>
        </w:rPr>
        <w:t>第一章</w:t>
      </w:r>
      <w:r>
        <w:rPr>
          <w:rFonts w:hint="eastAsia" w:eastAsia="黑体"/>
          <w:snapToGrid/>
          <w:color w:val="000000"/>
          <w:spacing w:val="0"/>
          <w:kern w:val="2"/>
          <w:sz w:val="32"/>
          <w:szCs w:val="32"/>
          <w:lang w:eastAsia="zh-CN"/>
        </w:rPr>
        <w:t>　</w:t>
      </w:r>
      <w:r>
        <w:rPr>
          <w:rFonts w:eastAsia="黑体"/>
          <w:snapToGrid/>
          <w:color w:val="000000"/>
          <w:spacing w:val="0"/>
          <w:kern w:val="2"/>
          <w:sz w:val="32"/>
          <w:szCs w:val="32"/>
        </w:rPr>
        <w:t>总</w:t>
      </w:r>
      <w:r>
        <w:rPr>
          <w:rFonts w:hint="eastAsia" w:eastAsia="黑体"/>
          <w:snapToGrid/>
          <w:color w:val="000000"/>
          <w:spacing w:val="0"/>
          <w:kern w:val="2"/>
          <w:sz w:val="32"/>
          <w:szCs w:val="32"/>
          <w:lang w:eastAsia="zh-CN"/>
        </w:rPr>
        <w:t>　　</w:t>
      </w:r>
      <w:r>
        <w:rPr>
          <w:rFonts w:eastAsia="黑体"/>
          <w:snapToGrid/>
          <w:color w:val="000000"/>
          <w:spacing w:val="0"/>
          <w:kern w:val="2"/>
          <w:sz w:val="32"/>
          <w:szCs w:val="32"/>
        </w:rPr>
        <w:t>则</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napToGrid/>
          <w:color w:val="000000"/>
          <w:spacing w:val="0"/>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第一条</w:t>
      </w:r>
      <w:r>
        <w:rPr>
          <w:rFonts w:hint="eastAsia"/>
          <w:snapToGrid/>
          <w:color w:val="000000"/>
          <w:spacing w:val="0"/>
          <w:kern w:val="2"/>
          <w:sz w:val="32"/>
          <w:szCs w:val="32"/>
          <w:lang w:eastAsia="zh-CN"/>
        </w:rPr>
        <w:t>　</w:t>
      </w:r>
      <w:r>
        <w:rPr>
          <w:rFonts w:eastAsia="仿宋_GB2312"/>
          <w:snapToGrid/>
          <w:color w:val="000000"/>
          <w:spacing w:val="0"/>
          <w:kern w:val="2"/>
          <w:sz w:val="32"/>
          <w:szCs w:val="32"/>
        </w:rPr>
        <w:t>为了加强科学技术普及工作，</w:t>
      </w:r>
      <w:r>
        <w:rPr>
          <w:rFonts w:hint="eastAsia" w:eastAsia="仿宋_GB2312"/>
          <w:snapToGrid/>
          <w:color w:val="000000"/>
          <w:spacing w:val="0"/>
          <w:kern w:val="2"/>
          <w:sz w:val="32"/>
          <w:szCs w:val="32"/>
        </w:rPr>
        <w:t>深入实施全民科学素质提升行动，提高</w:t>
      </w:r>
      <w:r>
        <w:rPr>
          <w:rFonts w:eastAsia="仿宋_GB2312"/>
          <w:snapToGrid/>
          <w:color w:val="000000"/>
          <w:spacing w:val="0"/>
          <w:kern w:val="2"/>
          <w:sz w:val="32"/>
          <w:szCs w:val="32"/>
        </w:rPr>
        <w:t>公民科</w:t>
      </w:r>
      <w:r>
        <w:rPr>
          <w:rFonts w:hint="eastAsia" w:eastAsia="仿宋_GB2312"/>
          <w:snapToGrid/>
          <w:color w:val="000000"/>
          <w:spacing w:val="0"/>
          <w:kern w:val="2"/>
          <w:sz w:val="32"/>
          <w:szCs w:val="32"/>
        </w:rPr>
        <w:t>学文化素质</w:t>
      </w:r>
      <w:r>
        <w:rPr>
          <w:rFonts w:eastAsia="仿宋_GB2312"/>
          <w:snapToGrid/>
          <w:color w:val="000000"/>
          <w:spacing w:val="0"/>
          <w:kern w:val="2"/>
          <w:sz w:val="32"/>
          <w:szCs w:val="32"/>
        </w:rPr>
        <w:t>，</w:t>
      </w:r>
      <w:r>
        <w:rPr>
          <w:rFonts w:hint="eastAsia" w:eastAsia="仿宋_GB2312"/>
          <w:snapToGrid/>
          <w:color w:val="000000"/>
          <w:spacing w:val="0"/>
          <w:kern w:val="2"/>
          <w:sz w:val="32"/>
          <w:szCs w:val="32"/>
        </w:rPr>
        <w:t>促进合肥综合性国家科学中心建设</w:t>
      </w:r>
      <w:r>
        <w:rPr>
          <w:rFonts w:eastAsia="仿宋_GB2312"/>
          <w:snapToGrid/>
          <w:color w:val="000000"/>
          <w:spacing w:val="0"/>
          <w:kern w:val="2"/>
          <w:sz w:val="32"/>
          <w:szCs w:val="32"/>
        </w:rPr>
        <w:t>，</w:t>
      </w:r>
      <w:r>
        <w:rPr>
          <w:rFonts w:hint="eastAsia" w:eastAsia="仿宋_GB2312"/>
          <w:snapToGrid/>
          <w:color w:val="000000"/>
          <w:spacing w:val="0"/>
          <w:kern w:val="2"/>
          <w:sz w:val="32"/>
          <w:szCs w:val="32"/>
        </w:rPr>
        <w:t>推动</w:t>
      </w:r>
      <w:r>
        <w:rPr>
          <w:rFonts w:eastAsia="仿宋_GB2312"/>
          <w:snapToGrid/>
          <w:color w:val="000000"/>
          <w:spacing w:val="0"/>
          <w:kern w:val="2"/>
          <w:sz w:val="32"/>
          <w:szCs w:val="32"/>
        </w:rPr>
        <w:t>经济社会高质量发展，根据《中华人民共和国科学技术普及法》和有关法律、行政法规，结合本市实际，制定本条例。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黑体" w:cs="黑体"/>
          <w:snapToGrid/>
          <w:color w:val="000000"/>
          <w:spacing w:val="0"/>
          <w:kern w:val="2"/>
          <w:sz w:val="32"/>
          <w:szCs w:val="32"/>
        </w:rPr>
      </w:pPr>
      <w:r>
        <w:rPr>
          <w:rFonts w:eastAsia="黑体"/>
          <w:snapToGrid/>
          <w:color w:val="000000"/>
          <w:spacing w:val="0"/>
          <w:kern w:val="2"/>
          <w:sz w:val="32"/>
          <w:szCs w:val="32"/>
        </w:rPr>
        <w:t>第二条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本条例所称科学技术普及（以下简称科普），是指以公众易于理解、接受和参与的方式，普及科学技术知识、弘扬科学精神、传播科学思想、倡导科学方法的工作和活动。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第三条</w:t>
      </w:r>
      <w:r>
        <w:rPr>
          <w:rFonts w:hint="eastAsia"/>
          <w:snapToGrid/>
          <w:color w:val="000000"/>
          <w:spacing w:val="0"/>
          <w:kern w:val="2"/>
          <w:sz w:val="32"/>
          <w:szCs w:val="32"/>
          <w:lang w:eastAsia="zh-CN"/>
        </w:rPr>
        <w:t>　</w:t>
      </w:r>
      <w:r>
        <w:rPr>
          <w:rFonts w:eastAsia="仿宋_GB2312"/>
          <w:snapToGrid/>
          <w:color w:val="000000"/>
          <w:spacing w:val="0"/>
          <w:kern w:val="2"/>
          <w:sz w:val="32"/>
          <w:szCs w:val="32"/>
        </w:rPr>
        <w:t>科普工作应当坚</w:t>
      </w:r>
      <w:r>
        <w:rPr>
          <w:rFonts w:hint="eastAsia" w:eastAsia="仿宋_GB2312"/>
          <w:snapToGrid/>
          <w:color w:val="000000"/>
          <w:spacing w:val="0"/>
          <w:kern w:val="2"/>
          <w:sz w:val="32"/>
          <w:szCs w:val="32"/>
        </w:rPr>
        <w:t>持政府主导、社会支持、全民参与、</w:t>
      </w:r>
      <w:r>
        <w:rPr>
          <w:rFonts w:eastAsia="仿宋_GB2312"/>
          <w:snapToGrid/>
          <w:color w:val="000000"/>
          <w:spacing w:val="0"/>
          <w:kern w:val="2"/>
          <w:sz w:val="32"/>
          <w:szCs w:val="32"/>
        </w:rPr>
        <w:t>开放合作的原则，</w:t>
      </w:r>
      <w:r>
        <w:rPr>
          <w:rFonts w:hint="eastAsia" w:eastAsia="仿宋_GB2312"/>
          <w:snapToGrid/>
          <w:color w:val="000000"/>
          <w:spacing w:val="0"/>
          <w:kern w:val="2"/>
          <w:sz w:val="32"/>
          <w:szCs w:val="32"/>
        </w:rPr>
        <w:t>在全社会形成讲科学、爱科学、学科学、用科学的良好氛围</w:t>
      </w:r>
      <w:r>
        <w:rPr>
          <w:rFonts w:eastAsia="仿宋_GB2312"/>
          <w:snapToGrid/>
          <w:color w:val="000000"/>
          <w:spacing w:val="0"/>
          <w:kern w:val="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w:t>
      </w:r>
      <w:r>
        <w:rPr>
          <w:rFonts w:hint="eastAsia" w:eastAsia="黑体"/>
          <w:snapToGrid/>
          <w:color w:val="000000"/>
          <w:spacing w:val="0"/>
          <w:kern w:val="2"/>
          <w:sz w:val="32"/>
          <w:szCs w:val="32"/>
        </w:rPr>
        <w:t>四</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eastAsia="仿宋_GB2312"/>
          <w:snapToGrid/>
          <w:color w:val="000000"/>
          <w:spacing w:val="0"/>
          <w:kern w:val="2"/>
          <w:sz w:val="32"/>
          <w:szCs w:val="32"/>
        </w:rPr>
        <w:t>科普是全社会的共同责任，社会各界应当</w:t>
      </w:r>
      <w:r>
        <w:rPr>
          <w:rFonts w:hint="eastAsia" w:eastAsia="仿宋_GB2312"/>
          <w:snapToGrid/>
          <w:color w:val="000000"/>
          <w:spacing w:val="0"/>
          <w:kern w:val="2"/>
          <w:sz w:val="32"/>
          <w:szCs w:val="32"/>
        </w:rPr>
        <w:t>组织、参加、支持科普活动，引导社会力量按照市场运行机制兴办科普事业。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充分利用国家级创新平台、重大科技项目的优势推动科普工作的发展。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充分发挥市场配置资源的作用，支持、培育和推动科普产业发展。</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i w:val="0"/>
          <w:iCs w:val="0"/>
          <w:snapToGrid/>
          <w:color w:val="000000"/>
          <w:spacing w:val="0"/>
          <w:kern w:val="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snapToGrid/>
          <w:color w:val="000000"/>
          <w:spacing w:val="0"/>
          <w:kern w:val="2"/>
        </w:rPr>
      </w:pPr>
      <w:r>
        <w:rPr>
          <w:rFonts w:hint="eastAsia" w:ascii="黑体" w:hAnsi="黑体" w:eastAsia="黑体" w:cs="黑体"/>
          <w:snapToGrid/>
          <w:color w:val="000000"/>
          <w:spacing w:val="0"/>
          <w:kern w:val="2"/>
          <w:sz w:val="32"/>
          <w:szCs w:val="32"/>
          <w:lang w:val="en-US" w:eastAsia="zh-CN" w:bidi="ar-SA"/>
        </w:rPr>
        <w:t>第二章　</w:t>
      </w:r>
      <w:r>
        <w:rPr>
          <w:rFonts w:hint="eastAsia" w:eastAsia="黑体" w:cs="黑体"/>
          <w:snapToGrid/>
          <w:color w:val="000000"/>
          <w:spacing w:val="0"/>
          <w:kern w:val="2"/>
          <w:sz w:val="32"/>
          <w:szCs w:val="32"/>
        </w:rPr>
        <w:t>组织实施</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napToGrid/>
          <w:color w:val="000000"/>
          <w:spacing w:val="0"/>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w:t>
      </w:r>
      <w:r>
        <w:rPr>
          <w:rFonts w:hint="eastAsia" w:eastAsia="黑体"/>
          <w:snapToGrid/>
          <w:color w:val="000000"/>
          <w:spacing w:val="0"/>
          <w:kern w:val="2"/>
          <w:sz w:val="32"/>
          <w:szCs w:val="32"/>
        </w:rPr>
        <w:t>五</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市、县（市）区人民政府应当将科普和公民科学文化素质提升工作纳入国民经济和社会发展规划，制定科普工作规划和相关政策措施，建立、完善科普工作协调制度。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乡镇人民政府、街道办事处应当制定科普工作计划，开展科普宣传，有计划地建设科普设施，指导、支持居民委员会、村民委员会开展科普工作。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科学技术、发展和改革、教育、经济和信息化、民政、财政、人力资源和社会保障、农业农村、卫生健康、生态环境、城乡建设、市场监督管理、文化和旅游、应急管理、气象、地震等有关部门，应当按照各自职责，开展相应主题的科普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新闻出版、广播电视等部门按照各自职责，负责对科普公益宣传的指导，推动科普内容创作与出版发行，督促各类媒体开展科普工作。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w:t>
      </w:r>
      <w:r>
        <w:rPr>
          <w:rFonts w:hint="eastAsia" w:eastAsia="黑体"/>
          <w:snapToGrid/>
          <w:color w:val="000000"/>
          <w:spacing w:val="0"/>
          <w:kern w:val="2"/>
          <w:sz w:val="32"/>
          <w:szCs w:val="32"/>
        </w:rPr>
        <w:t>六</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eastAsia="仿宋_GB2312"/>
          <w:snapToGrid/>
          <w:color w:val="000000"/>
          <w:spacing w:val="0"/>
          <w:kern w:val="2"/>
          <w:sz w:val="32"/>
          <w:szCs w:val="32"/>
        </w:rPr>
        <w:t>市、县（市）区科学技术</w:t>
      </w:r>
      <w:r>
        <w:rPr>
          <w:rFonts w:hint="eastAsia" w:eastAsia="仿宋_GB2312"/>
          <w:snapToGrid/>
          <w:color w:val="000000"/>
          <w:spacing w:val="0"/>
          <w:kern w:val="2"/>
          <w:sz w:val="32"/>
          <w:szCs w:val="32"/>
        </w:rPr>
        <w:t>协会应当依法组织开展群众性、社会性、经常性的科普活动，履行下列职责：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（一）协助编制并组织实施科普工作规划和实施方案；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（二）组织、协调、指导公民科学素质调查和科普工作评估；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（三）指导、协调有关单位和个人开展科普活动；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（四）组织科普资源普查，建立科普资源共享信息平台；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（五）推动科普人才队伍建设，组织、协调、指导开展业务培训；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（六）指导科普志愿者开展科普志愿服务；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（七）推动科普合作与交流；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（八）组织评选优秀科普作品、科普产品、科普平台；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（九）负责科普基地、科普示范点的培育、认定、管理和评估；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（十）开展针对社会重大事件、公众关注热点的专题科普活动；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（十一）依法开展其他科普工作。</w:t>
      </w:r>
    </w:p>
    <w:p>
      <w:pPr>
        <w:pStyle w:val="8"/>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Cs w:val="32"/>
        </w:rPr>
      </w:pPr>
      <w:r>
        <w:rPr>
          <w:rFonts w:hint="eastAsia" w:eastAsia="黑体"/>
          <w:snapToGrid/>
          <w:color w:val="000000"/>
          <w:spacing w:val="0"/>
          <w:kern w:val="2"/>
          <w:szCs w:val="32"/>
        </w:rPr>
        <w:t>第七</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eastAsia="仿宋_GB2312"/>
          <w:snapToGrid/>
          <w:color w:val="000000"/>
          <w:spacing w:val="0"/>
          <w:kern w:val="2"/>
          <w:szCs w:val="32"/>
        </w:rPr>
        <w:t>工会、</w:t>
      </w:r>
      <w:r>
        <w:rPr>
          <w:rFonts w:hint="eastAsia" w:eastAsia="仿宋_GB2312"/>
          <w:snapToGrid/>
          <w:color w:val="000000"/>
          <w:spacing w:val="0"/>
          <w:kern w:val="2"/>
          <w:szCs w:val="32"/>
        </w:rPr>
        <w:t>共青团</w:t>
      </w:r>
      <w:r>
        <w:rPr>
          <w:rFonts w:eastAsia="仿宋_GB2312"/>
          <w:snapToGrid/>
          <w:color w:val="000000"/>
          <w:spacing w:val="0"/>
          <w:kern w:val="2"/>
          <w:szCs w:val="32"/>
        </w:rPr>
        <w:t>、</w:t>
      </w:r>
      <w:r>
        <w:rPr>
          <w:rFonts w:hint="eastAsia" w:eastAsia="仿宋_GB2312"/>
          <w:snapToGrid/>
          <w:color w:val="000000"/>
          <w:spacing w:val="0"/>
          <w:kern w:val="2"/>
          <w:szCs w:val="32"/>
        </w:rPr>
        <w:t>妇联等人民团体应当结合各自工作对象的特点组织开展科普活动。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w:t>
      </w:r>
      <w:r>
        <w:rPr>
          <w:rFonts w:hint="eastAsia" w:eastAsia="黑体"/>
          <w:snapToGrid/>
          <w:color w:val="000000"/>
          <w:spacing w:val="0"/>
          <w:kern w:val="2"/>
          <w:sz w:val="32"/>
          <w:szCs w:val="32"/>
        </w:rPr>
        <w:t>八</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eastAsia="仿宋_GB2312"/>
          <w:snapToGrid/>
          <w:color w:val="000000"/>
          <w:spacing w:val="0"/>
          <w:kern w:val="2"/>
          <w:sz w:val="32"/>
          <w:szCs w:val="32"/>
        </w:rPr>
        <w:t>高等院校、科研院所、职业学</w:t>
      </w:r>
      <w:r>
        <w:rPr>
          <w:rFonts w:hint="eastAsia" w:eastAsia="仿宋_GB2312"/>
          <w:snapToGrid/>
          <w:color w:val="000000"/>
          <w:spacing w:val="0"/>
          <w:kern w:val="2"/>
          <w:sz w:val="32"/>
          <w:szCs w:val="32"/>
        </w:rPr>
        <w:t>校等应当建立</w:t>
      </w:r>
      <w:r>
        <w:rPr>
          <w:rFonts w:eastAsia="仿宋_GB2312"/>
          <w:snapToGrid/>
          <w:color w:val="000000"/>
          <w:spacing w:val="0"/>
          <w:kern w:val="2"/>
          <w:sz w:val="32"/>
          <w:szCs w:val="32"/>
        </w:rPr>
        <w:t>科普工作组织和激励机制，鼓励和动员科技工作者、教师、在校学生创作科普</w:t>
      </w:r>
      <w:r>
        <w:rPr>
          <w:rFonts w:hint="eastAsia" w:eastAsia="仿宋_GB2312"/>
          <w:snapToGrid/>
          <w:color w:val="000000"/>
          <w:spacing w:val="0"/>
          <w:kern w:val="2"/>
          <w:sz w:val="32"/>
          <w:szCs w:val="32"/>
        </w:rPr>
        <w:t>作品</w:t>
      </w:r>
      <w:r>
        <w:rPr>
          <w:rFonts w:eastAsia="仿宋_GB2312"/>
          <w:snapToGrid/>
          <w:color w:val="000000"/>
          <w:spacing w:val="0"/>
          <w:kern w:val="2"/>
          <w:sz w:val="32"/>
          <w:szCs w:val="32"/>
        </w:rPr>
        <w:t>，开展面向社会的科普活动。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w:t>
      </w:r>
      <w:r>
        <w:rPr>
          <w:rFonts w:hint="eastAsia" w:eastAsia="黑体"/>
          <w:snapToGrid/>
          <w:color w:val="000000"/>
          <w:spacing w:val="0"/>
          <w:kern w:val="2"/>
          <w:sz w:val="32"/>
          <w:szCs w:val="32"/>
        </w:rPr>
        <w:t>九</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企业应当结合技术创新和职工技能培训组织开展科普活动，提高职工的科学文化素质。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鼓励企业、行业协会设立向公众开放的科普场馆、设施或者线上科普平台，宣传行业科学技术进步的相关知识。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w:t>
      </w:r>
      <w:r>
        <w:rPr>
          <w:rFonts w:hint="eastAsia" w:eastAsia="黑体"/>
          <w:snapToGrid/>
          <w:color w:val="000000"/>
          <w:spacing w:val="0"/>
          <w:kern w:val="2"/>
          <w:sz w:val="32"/>
          <w:szCs w:val="32"/>
        </w:rPr>
        <w:t>十</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eastAsia="仿宋_GB2312"/>
          <w:snapToGrid/>
          <w:color w:val="000000"/>
          <w:spacing w:val="0"/>
          <w:kern w:val="2"/>
          <w:sz w:val="32"/>
          <w:szCs w:val="32"/>
        </w:rPr>
        <w:t>公园、</w:t>
      </w:r>
      <w:r>
        <w:rPr>
          <w:rFonts w:hint="eastAsia" w:eastAsia="仿宋_GB2312"/>
          <w:snapToGrid/>
          <w:color w:val="000000"/>
          <w:spacing w:val="0"/>
          <w:kern w:val="2"/>
          <w:sz w:val="32"/>
          <w:szCs w:val="32"/>
        </w:rPr>
        <w:t>景区、</w:t>
      </w:r>
      <w:r>
        <w:rPr>
          <w:rFonts w:eastAsia="仿宋_GB2312"/>
          <w:snapToGrid/>
          <w:color w:val="000000"/>
          <w:spacing w:val="0"/>
          <w:kern w:val="2"/>
          <w:sz w:val="32"/>
          <w:szCs w:val="32"/>
        </w:rPr>
        <w:t>影剧院、体育馆、机场、火车站、公交站点、客运码头、公路长途客运站、城市轨道交通站点等公共场所的经营管理单位，应当因地制宜开展科普活动，并重点围绕自然灾害防御、消防安全、节能环保、公共卫生、现场急救等方面开展科普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第十</w:t>
      </w:r>
      <w:r>
        <w:rPr>
          <w:rFonts w:hint="eastAsia" w:eastAsia="黑体"/>
          <w:snapToGrid/>
          <w:color w:val="000000"/>
          <w:spacing w:val="0"/>
          <w:kern w:val="2"/>
          <w:sz w:val="32"/>
          <w:szCs w:val="32"/>
        </w:rPr>
        <w:t>一</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eastAsia="仿宋_GB2312"/>
          <w:snapToGrid/>
          <w:color w:val="000000"/>
          <w:spacing w:val="0"/>
          <w:kern w:val="2"/>
          <w:sz w:val="32"/>
          <w:szCs w:val="32"/>
        </w:rPr>
        <w:t>新闻媒体应</w:t>
      </w:r>
      <w:r>
        <w:rPr>
          <w:rFonts w:hint="eastAsia" w:eastAsia="仿宋_GB2312"/>
          <w:snapToGrid/>
          <w:color w:val="000000"/>
          <w:spacing w:val="0"/>
          <w:kern w:val="2"/>
          <w:sz w:val="32"/>
          <w:szCs w:val="32"/>
        </w:rPr>
        <w:t>当通过开设科普专栏、专版等方式，及时报道重大科技成果、重要科技创新项目、杰出科技人物、重大科普活动和社会关注的科学</w:t>
      </w:r>
      <w:r>
        <w:rPr>
          <w:rFonts w:eastAsia="仿宋_GB2312"/>
          <w:snapToGrid/>
          <w:color w:val="000000"/>
          <w:spacing w:val="0"/>
          <w:kern w:val="2"/>
          <w:sz w:val="32"/>
          <w:szCs w:val="32"/>
        </w:rPr>
        <w:t>热点等内容。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各类广告发布媒介应当按照规定发布科普公益广告。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鼓励新媒体、自媒体等媒体通过动漫、短视频等多种形式，线上线下多渠道传播科学知识、展示科技成就、开展科普宣传。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鼓励户外广告设施的设置人、使用人、发布人通过多种形式开展科普宣传。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napToGrid/>
          <w:color w:val="000000"/>
          <w:spacing w:val="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黑体"/>
          <w:snapToGrid/>
          <w:color w:val="000000"/>
          <w:spacing w:val="0"/>
          <w:kern w:val="2"/>
          <w:sz w:val="32"/>
          <w:szCs w:val="32"/>
        </w:rPr>
      </w:pPr>
      <w:r>
        <w:rPr>
          <w:rFonts w:eastAsia="黑体"/>
          <w:snapToGrid/>
          <w:color w:val="000000"/>
          <w:spacing w:val="0"/>
          <w:kern w:val="2"/>
          <w:sz w:val="32"/>
          <w:szCs w:val="32"/>
        </w:rPr>
        <w:t>第三章　科普活动</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napToGrid/>
          <w:color w:val="000000"/>
          <w:spacing w:val="0"/>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w:t>
      </w:r>
      <w:r>
        <w:rPr>
          <w:rFonts w:hint="eastAsia" w:eastAsia="黑体"/>
          <w:snapToGrid/>
          <w:color w:val="000000"/>
          <w:spacing w:val="0"/>
          <w:kern w:val="2"/>
          <w:sz w:val="32"/>
          <w:szCs w:val="32"/>
        </w:rPr>
        <w:t>十二</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市、县（市）区人民政府应当结合全国科普日、全国科技活动周、安徽省科技活动周、合肥科技创新日以及全国防灾减灾日等，组织开展各项主题科普活动。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第十</w:t>
      </w:r>
      <w:r>
        <w:rPr>
          <w:rFonts w:hint="eastAsia" w:eastAsia="黑体"/>
          <w:snapToGrid/>
          <w:color w:val="000000"/>
          <w:spacing w:val="0"/>
          <w:kern w:val="2"/>
          <w:sz w:val="32"/>
          <w:szCs w:val="32"/>
        </w:rPr>
        <w:t>三</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eastAsia="仿宋_GB2312"/>
          <w:snapToGrid/>
          <w:color w:val="000000"/>
          <w:spacing w:val="0"/>
          <w:kern w:val="2"/>
          <w:sz w:val="32"/>
          <w:szCs w:val="32"/>
        </w:rPr>
        <w:t>科普</w:t>
      </w:r>
      <w:r>
        <w:rPr>
          <w:rFonts w:hint="eastAsia" w:eastAsia="仿宋_GB2312"/>
          <w:snapToGrid/>
          <w:color w:val="000000"/>
          <w:spacing w:val="0"/>
          <w:kern w:val="2"/>
          <w:sz w:val="32"/>
          <w:szCs w:val="32"/>
        </w:rPr>
        <w:t>活动应当面对全体公民，重点做好青少年、老年人、公务员、农民、产业</w:t>
      </w:r>
      <w:r>
        <w:rPr>
          <w:rFonts w:eastAsia="仿宋_GB2312"/>
          <w:snapToGrid/>
          <w:color w:val="000000"/>
          <w:spacing w:val="0"/>
          <w:kern w:val="2"/>
          <w:sz w:val="32"/>
          <w:szCs w:val="32"/>
        </w:rPr>
        <w:t>工人</w:t>
      </w:r>
      <w:r>
        <w:rPr>
          <w:rFonts w:hint="eastAsia" w:eastAsia="仿宋_GB2312"/>
          <w:snapToGrid/>
          <w:color w:val="000000"/>
          <w:spacing w:val="0"/>
          <w:kern w:val="2"/>
          <w:sz w:val="32"/>
          <w:szCs w:val="32"/>
        </w:rPr>
        <w:t>的科普工作</w:t>
      </w:r>
      <w:r>
        <w:rPr>
          <w:rFonts w:eastAsia="仿宋_GB2312"/>
          <w:snapToGrid/>
          <w:color w:val="000000"/>
          <w:spacing w:val="0"/>
          <w:kern w:val="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第十</w:t>
      </w:r>
      <w:r>
        <w:rPr>
          <w:rFonts w:hint="eastAsia" w:eastAsia="黑体"/>
          <w:snapToGrid/>
          <w:color w:val="000000"/>
          <w:spacing w:val="0"/>
          <w:kern w:val="2"/>
          <w:sz w:val="32"/>
          <w:szCs w:val="32"/>
        </w:rPr>
        <w:t>四</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eastAsia="仿宋_GB2312"/>
          <w:snapToGrid/>
          <w:color w:val="000000"/>
          <w:spacing w:val="0"/>
          <w:kern w:val="2"/>
          <w:sz w:val="32"/>
          <w:szCs w:val="32"/>
        </w:rPr>
        <w:t>教育</w:t>
      </w:r>
      <w:r>
        <w:rPr>
          <w:rFonts w:hint="eastAsia" w:eastAsia="仿宋_GB2312"/>
          <w:snapToGrid/>
          <w:color w:val="000000"/>
          <w:spacing w:val="0"/>
          <w:kern w:val="2"/>
          <w:sz w:val="32"/>
          <w:szCs w:val="32"/>
        </w:rPr>
        <w:t>部门应当加强对中小学校科普工作指导，开展科普教育教师培训，督促和指导中小学校开展科普教学，建立科普实验室，建设科普示范学校。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学校应当将科普贯穿于教育教学活动中，组织开展科技制作、科技发明、科技考察、科技竞赛等科普活动，普及相关生理心理健康、生态环境保护、能源和资源节约、安全避险等知识。有条件的应当邀请科学家进校园，开展科普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市、县（市）区科学技术协会应当开展青少年科技创新大赛，组织青少年科技创新市长奖、县（市）区长奖评选。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科技类校外培训机构应当合理安排培训课程内容，开展特色科普教学活动。学前教育机构应当开展幼儿科学启蒙教育。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第十</w:t>
      </w:r>
      <w:r>
        <w:rPr>
          <w:rFonts w:hint="eastAsia" w:eastAsia="黑体"/>
          <w:snapToGrid/>
          <w:color w:val="000000"/>
          <w:spacing w:val="0"/>
          <w:kern w:val="2"/>
          <w:sz w:val="32"/>
          <w:szCs w:val="32"/>
        </w:rPr>
        <w:t>五</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eastAsia="仿宋_GB2312"/>
          <w:snapToGrid/>
          <w:color w:val="000000"/>
          <w:spacing w:val="0"/>
          <w:kern w:val="2"/>
          <w:sz w:val="32"/>
          <w:szCs w:val="32"/>
        </w:rPr>
        <w:t>市、县</w:t>
      </w:r>
      <w:r>
        <w:rPr>
          <w:rFonts w:hint="eastAsia" w:eastAsia="仿宋_GB2312"/>
          <w:snapToGrid/>
          <w:color w:val="000000"/>
          <w:spacing w:val="0"/>
          <w:kern w:val="2"/>
          <w:sz w:val="32"/>
          <w:szCs w:val="32"/>
        </w:rPr>
        <w:t>（市）区人民政府及其有关部门、科学技术协会等应当采取措施，做好下列科普工作：</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支持老年协会、老年大学、老年学校、社区卫生服务中心、养老服务机构等开展科普活动，实施智慧助老行动和老年人健康素养促进项目；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（二）在干部教育培训中突出科学精神、科学思想培育，增加前沿科技知识和全球科技发展趋势的学习内容；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三）加强农村科普组织建设，支持农村专业技术协会、农业行业首席专家工作室、科技特派员工作站、科技小院等发展，开展农民科学素质网络竞赛，利用农村科普示范基地、科普宣传栏等宣传科学的生产方式和文明健康的生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（四）加强企业科协组织建设，支持劳模工匠人才创新工作室发展，建立企业科技创新和产业工人科学素质提升促进机制，开展产业工人科技以及技能培训，组织劳动技能竞赛和创新成果评选。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黑体"/>
          <w:snapToGrid/>
          <w:color w:val="000000"/>
          <w:spacing w:val="0"/>
          <w:kern w:val="2"/>
          <w:sz w:val="32"/>
          <w:szCs w:val="32"/>
        </w:rPr>
        <w:t>第十六</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市、县（市）区科学技术协会应当组织开展多种形式的社区科普活动，推动科技、安全、卫生、健康、节能、环保等进社区，提升居民应用科学知识解决实际问题、参与公共事务管理、抵制封建迷信和伪科学的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黑体"/>
          <w:snapToGrid/>
          <w:color w:val="000000"/>
          <w:spacing w:val="0"/>
          <w:kern w:val="2"/>
          <w:sz w:val="32"/>
          <w:szCs w:val="32"/>
        </w:rPr>
        <w:t>第十七</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市、县（市）区科学技术协会应当会同有关部门组织开展经常性的防震减灾、防范气象灾害、公共卫生、现场急救、道路交通安全、消防安全、电梯使用安全、用电用气用水安全、食品药品安全、人员密集场所疏散逃生等各类应急科普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w:t>
      </w:r>
      <w:r>
        <w:rPr>
          <w:rFonts w:hint="eastAsia" w:eastAsia="黑体"/>
          <w:snapToGrid/>
          <w:color w:val="000000"/>
          <w:spacing w:val="0"/>
          <w:kern w:val="2"/>
          <w:sz w:val="32"/>
          <w:szCs w:val="32"/>
        </w:rPr>
        <w:t>十八</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开展科普活动的单位应当加强对科普内容的科学性审查，反对和抵制伪科学。有条件的应当建立科学顾问制度。</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napToGrid/>
          <w:color w:val="000000"/>
          <w:spacing w:val="0"/>
          <w:kern w:val="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黑体"/>
          <w:snapToGrid/>
          <w:color w:val="000000"/>
          <w:spacing w:val="0"/>
          <w:kern w:val="2"/>
          <w:sz w:val="32"/>
          <w:szCs w:val="32"/>
        </w:rPr>
      </w:pPr>
      <w:r>
        <w:rPr>
          <w:rFonts w:eastAsia="黑体"/>
          <w:snapToGrid/>
          <w:color w:val="000000"/>
          <w:spacing w:val="0"/>
          <w:kern w:val="2"/>
          <w:sz w:val="32"/>
          <w:szCs w:val="32"/>
        </w:rPr>
        <w:t>第四章　科普资源</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napToGrid/>
          <w:color w:val="000000"/>
          <w:spacing w:val="0"/>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w:t>
      </w:r>
      <w:r>
        <w:rPr>
          <w:rFonts w:hint="eastAsia" w:eastAsia="黑体"/>
          <w:snapToGrid/>
          <w:color w:val="000000"/>
          <w:spacing w:val="0"/>
          <w:kern w:val="2"/>
          <w:sz w:val="32"/>
          <w:szCs w:val="32"/>
        </w:rPr>
        <w:t>十九</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市、县（市）区科学技术协会应当会同有关部门定期开展科普资源调查，建立本区域科普资源库，实行动态管理，制作科普地图并向社会公布。有关单位和个人应当配合科普资源调查工作。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仿宋_GB2312"/>
          <w:snapToGrid/>
          <w:color w:val="000000"/>
          <w:spacing w:val="0"/>
          <w:kern w:val="2"/>
          <w:sz w:val="32"/>
          <w:szCs w:val="32"/>
        </w:rPr>
        <w:t>鼓励单位和个人将其具有科普功能的场所、设施、设备、作品、产品、信息等申报纳入科普资源库。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黑体"/>
          <w:snapToGrid/>
          <w:color w:val="000000"/>
          <w:spacing w:val="0"/>
          <w:kern w:val="2"/>
          <w:sz w:val="32"/>
          <w:szCs w:val="32"/>
        </w:rPr>
      </w:pPr>
      <w:r>
        <w:rPr>
          <w:rFonts w:eastAsia="黑体"/>
          <w:snapToGrid/>
          <w:color w:val="000000"/>
          <w:spacing w:val="0"/>
          <w:kern w:val="2"/>
          <w:sz w:val="32"/>
          <w:szCs w:val="32"/>
        </w:rPr>
        <w:t>第</w:t>
      </w:r>
      <w:r>
        <w:rPr>
          <w:rFonts w:hint="eastAsia" w:eastAsia="黑体"/>
          <w:snapToGrid/>
          <w:color w:val="000000"/>
          <w:spacing w:val="0"/>
          <w:kern w:val="2"/>
          <w:sz w:val="32"/>
          <w:szCs w:val="32"/>
        </w:rPr>
        <w:t>二十</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市、县（市）区人民政府应当加强科普场馆、科普基地等基础设施建设，推进科普信息化、数字化建设，及时更新科普内容，并向公众开放。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有条件的开发区应当设立展示高新技术产品的展馆，并向公众开放。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黑体"/>
          <w:snapToGrid/>
          <w:color w:val="000000"/>
          <w:spacing w:val="0"/>
          <w:kern w:val="2"/>
          <w:sz w:val="32"/>
          <w:szCs w:val="32"/>
        </w:rPr>
        <w:t>第二十一</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鼓励高等学校、科研机构等利用自身设施设备和实验环境等科技资源，通过设立公众开放日、开发科普旅游项目等方式开展科普活动，与企业合作开发科普产品。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鼓励企业事业单位、社会组织创办科普场馆、建设特色科普设施或者线上科普平台，向公众展示科技成果，传播科技知识。</w:t>
      </w:r>
    </w:p>
    <w:p>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632" w:firstLineChars="200"/>
        <w:textAlignment w:val="auto"/>
        <w:rPr>
          <w:rFonts w:eastAsia="黑体" w:cs="黑体"/>
          <w:snapToGrid/>
          <w:color w:val="000000"/>
          <w:spacing w:val="0"/>
          <w:kern w:val="2"/>
          <w:sz w:val="32"/>
          <w:szCs w:val="32"/>
          <w:u w:val="double"/>
        </w:rPr>
      </w:pPr>
      <w:r>
        <w:rPr>
          <w:rFonts w:hint="eastAsia" w:eastAsia="黑体"/>
          <w:snapToGrid/>
          <w:color w:val="000000"/>
          <w:spacing w:val="0"/>
          <w:kern w:val="2"/>
          <w:sz w:val="32"/>
          <w:szCs w:val="32"/>
        </w:rPr>
        <w:t>第二十二</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市、县（市）区、乡镇人民政府应当推动建立基层科普组织动员体系，以新时代文明实践中心、党群服务中心、社区服务中心等为阵地，开展基层科普工作。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黑体"/>
          <w:snapToGrid/>
          <w:color w:val="000000"/>
          <w:spacing w:val="0"/>
          <w:kern w:val="2"/>
          <w:sz w:val="32"/>
          <w:szCs w:val="32"/>
        </w:rPr>
        <w:t>第二十三</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利用财政性资金设立的科技计划项目，适合科普的，项目管理机构应当在项目中明确科普工作任务，并将完成情况纳入综合绩效评价。具体办法由市科学技术部门会同有关部门制定。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项目承担单位应当根据项目特点及时普及项目研究成果，适宜展示的应当面向公众展示。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w:t>
      </w:r>
      <w:r>
        <w:rPr>
          <w:rFonts w:hint="eastAsia" w:eastAsia="黑体"/>
          <w:snapToGrid/>
          <w:color w:val="000000"/>
          <w:spacing w:val="0"/>
          <w:kern w:val="2"/>
          <w:sz w:val="32"/>
          <w:szCs w:val="32"/>
        </w:rPr>
        <w:t>二十四</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市、县（市）区人民政府应当制定措施，支持培育科普产业，促进科普与文化、旅游、体育等产业融合发展，加大优质科普产品供给。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支持生产创作科普产品，</w:t>
      </w:r>
      <w:r>
        <w:rPr>
          <w:rFonts w:eastAsia="仿宋_GB2312"/>
          <w:snapToGrid/>
          <w:color w:val="000000"/>
          <w:spacing w:val="0"/>
          <w:kern w:val="2"/>
          <w:sz w:val="32"/>
          <w:szCs w:val="32"/>
        </w:rPr>
        <w:t>创新科普表达和传播方式，</w:t>
      </w:r>
      <w:r>
        <w:rPr>
          <w:rFonts w:hint="eastAsia" w:eastAsia="仿宋_GB2312"/>
          <w:snapToGrid/>
          <w:color w:val="000000"/>
          <w:spacing w:val="0"/>
          <w:kern w:val="2"/>
          <w:sz w:val="32"/>
          <w:szCs w:val="32"/>
        </w:rPr>
        <w:t>开展优秀科普产品评选，建立优秀科普产品项目库，加大对原创优秀科普产品的宣传和推广，</w:t>
      </w:r>
      <w:r>
        <w:rPr>
          <w:rFonts w:eastAsia="仿宋_GB2312"/>
          <w:snapToGrid/>
          <w:color w:val="000000"/>
          <w:spacing w:val="0"/>
          <w:kern w:val="2"/>
          <w:sz w:val="32"/>
          <w:szCs w:val="32"/>
        </w:rPr>
        <w:t>增强科普作品的传播力和实效性。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napToGrid/>
          <w:color w:val="000000"/>
          <w:spacing w:val="0"/>
          <w:kern w:val="2"/>
          <w:sz w:val="32"/>
          <w:szCs w:val="32"/>
          <w:u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黑体" w:cs="黑体"/>
          <w:snapToGrid/>
          <w:color w:val="000000"/>
          <w:spacing w:val="0"/>
          <w:kern w:val="2"/>
          <w:sz w:val="32"/>
          <w:szCs w:val="32"/>
        </w:rPr>
      </w:pPr>
      <w:r>
        <w:rPr>
          <w:rFonts w:hint="eastAsia" w:eastAsia="黑体" w:cs="黑体"/>
          <w:snapToGrid/>
          <w:color w:val="000000"/>
          <w:spacing w:val="0"/>
          <w:kern w:val="2"/>
          <w:sz w:val="32"/>
          <w:szCs w:val="32"/>
        </w:rPr>
        <w:t>第五章</w:t>
      </w:r>
      <w:r>
        <w:rPr>
          <w:rFonts w:hint="eastAsia" w:eastAsia="黑体" w:cs="黑体"/>
          <w:snapToGrid/>
          <w:color w:val="000000"/>
          <w:spacing w:val="0"/>
          <w:kern w:val="2"/>
          <w:sz w:val="32"/>
          <w:szCs w:val="32"/>
          <w:lang w:eastAsia="zh-CN"/>
        </w:rPr>
        <w:t>　</w:t>
      </w:r>
      <w:r>
        <w:rPr>
          <w:rFonts w:hint="eastAsia" w:eastAsia="黑体" w:cs="黑体"/>
          <w:snapToGrid/>
          <w:color w:val="000000"/>
          <w:spacing w:val="0"/>
          <w:kern w:val="2"/>
          <w:sz w:val="32"/>
          <w:szCs w:val="32"/>
        </w:rPr>
        <w:t>科普保障</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napToGrid/>
          <w:color w:val="000000"/>
          <w:spacing w:val="0"/>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黑体"/>
          <w:snapToGrid/>
          <w:color w:val="000000"/>
          <w:spacing w:val="0"/>
          <w:kern w:val="2"/>
          <w:sz w:val="32"/>
          <w:szCs w:val="32"/>
        </w:rPr>
        <w:t>第二十五</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市、县（市）区人民政府应当加大财政经费对科普的投入，支持、培育和推动科普事业发展。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仿宋_GB2312"/>
          <w:snapToGrid/>
          <w:color w:val="000000"/>
          <w:spacing w:val="0"/>
          <w:kern w:val="2"/>
          <w:sz w:val="32"/>
          <w:szCs w:val="32"/>
        </w:rPr>
        <w:t>鼓励有关单位和个人以设立科普基金、科普奖项、捐赠财物等方式资助科普活动。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hint="eastAsia" w:eastAsia="黑体"/>
          <w:snapToGrid/>
          <w:color w:val="000000"/>
          <w:spacing w:val="0"/>
          <w:kern w:val="2"/>
          <w:sz w:val="32"/>
          <w:szCs w:val="32"/>
        </w:rPr>
        <w:t>第二十六</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市科学技术协会应当会同有关部门建立科普评估制度，建立科普评估指标体系、科普监测工作网络，对科普场馆运行情况、科普项目和重大科普活动的开展情况进行评估。科普评估结果应当作为编制和调整科普规划、制定科普政策的重要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rPr>
      </w:pPr>
      <w:r>
        <w:rPr>
          <w:rFonts w:eastAsia="黑体"/>
          <w:snapToGrid/>
          <w:color w:val="000000"/>
          <w:spacing w:val="0"/>
          <w:kern w:val="2"/>
          <w:sz w:val="32"/>
          <w:szCs w:val="32"/>
        </w:rPr>
        <w:t>第</w:t>
      </w:r>
      <w:r>
        <w:rPr>
          <w:rFonts w:hint="eastAsia" w:eastAsia="黑体"/>
          <w:snapToGrid/>
          <w:color w:val="000000"/>
          <w:spacing w:val="0"/>
          <w:kern w:val="2"/>
          <w:sz w:val="32"/>
          <w:szCs w:val="32"/>
        </w:rPr>
        <w:t>二十七</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市、县（市）区人民政府应当加强科普队伍建设，优化队伍结构，完善科普培训体系，建立科普人才库。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lang w:val="zh-CN"/>
        </w:rPr>
      </w:pPr>
      <w:r>
        <w:rPr>
          <w:rFonts w:hint="eastAsia" w:eastAsia="仿宋_GB2312"/>
          <w:snapToGrid/>
          <w:color w:val="000000"/>
          <w:spacing w:val="0"/>
          <w:kern w:val="2"/>
          <w:sz w:val="32"/>
          <w:szCs w:val="32"/>
          <w:lang w:val="zh-CN"/>
        </w:rPr>
        <w:t>科技人员应当积极参与和支持科普活动。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lang w:val="zh-CN"/>
        </w:rPr>
      </w:pPr>
      <w:r>
        <w:rPr>
          <w:rFonts w:hint="eastAsia" w:eastAsia="仿宋_GB2312"/>
          <w:snapToGrid/>
          <w:color w:val="000000"/>
          <w:spacing w:val="0"/>
          <w:kern w:val="2"/>
          <w:sz w:val="32"/>
          <w:szCs w:val="32"/>
          <w:lang w:val="zh-CN"/>
        </w:rPr>
        <w:t>鼓励高层次科技人员领衔实施科普项目，开展科普作品创作，普及和宣传科技知识。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 w:val="32"/>
          <w:szCs w:val="32"/>
          <w:shd w:val="clear" w:color="FFFFFF" w:fill="D9D9D9"/>
        </w:rPr>
      </w:pPr>
      <w:r>
        <w:rPr>
          <w:rFonts w:hint="eastAsia" w:eastAsia="仿宋_GB2312"/>
          <w:snapToGrid/>
          <w:color w:val="000000"/>
          <w:spacing w:val="0"/>
          <w:kern w:val="2"/>
          <w:sz w:val="32"/>
          <w:szCs w:val="32"/>
        </w:rPr>
        <w:t>鼓励和</w:t>
      </w:r>
      <w:r>
        <w:rPr>
          <w:rFonts w:eastAsia="仿宋_GB2312"/>
          <w:snapToGrid/>
          <w:color w:val="000000"/>
          <w:spacing w:val="0"/>
          <w:kern w:val="2"/>
          <w:sz w:val="32"/>
          <w:szCs w:val="32"/>
        </w:rPr>
        <w:t>引导符合条件的科普</w:t>
      </w:r>
      <w:r>
        <w:rPr>
          <w:rFonts w:hint="eastAsia" w:eastAsia="仿宋_GB2312"/>
          <w:snapToGrid/>
          <w:color w:val="000000"/>
          <w:spacing w:val="0"/>
          <w:kern w:val="2"/>
          <w:sz w:val="32"/>
          <w:szCs w:val="32"/>
        </w:rPr>
        <w:t>工作</w:t>
      </w:r>
      <w:r>
        <w:rPr>
          <w:rFonts w:eastAsia="仿宋_GB2312"/>
          <w:snapToGrid/>
          <w:color w:val="000000"/>
          <w:spacing w:val="0"/>
          <w:kern w:val="2"/>
          <w:sz w:val="32"/>
          <w:szCs w:val="32"/>
        </w:rPr>
        <w:t>人员申报科学传播专业技术职称</w:t>
      </w:r>
      <w:r>
        <w:rPr>
          <w:rFonts w:hint="eastAsia" w:eastAsia="仿宋_GB2312"/>
          <w:snapToGrid/>
          <w:color w:val="000000"/>
          <w:spacing w:val="0"/>
          <w:kern w:val="2"/>
          <w:sz w:val="32"/>
          <w:szCs w:val="32"/>
        </w:rPr>
        <w:t>。</w:t>
      </w:r>
      <w:r>
        <w:rPr>
          <w:rFonts w:eastAsia="仿宋_GB2312"/>
          <w:snapToGrid/>
          <w:color w:val="000000"/>
          <w:spacing w:val="0"/>
          <w:kern w:val="2"/>
          <w:sz w:val="32"/>
          <w:szCs w:val="32"/>
        </w:rPr>
        <w:t>科普工作业绩和科普成</w:t>
      </w:r>
      <w:r>
        <w:rPr>
          <w:rFonts w:hint="eastAsia" w:eastAsia="仿宋_GB2312"/>
          <w:snapToGrid/>
          <w:color w:val="000000"/>
          <w:spacing w:val="0"/>
          <w:kern w:val="2"/>
          <w:sz w:val="32"/>
          <w:szCs w:val="32"/>
        </w:rPr>
        <w:t>果可以作为相应专业技术职称评聘和考核评价参考</w:t>
      </w:r>
      <w:r>
        <w:rPr>
          <w:rFonts w:eastAsia="仿宋_GB2312"/>
          <w:snapToGrid/>
          <w:color w:val="000000"/>
          <w:spacing w:val="0"/>
          <w:kern w:val="2"/>
          <w:sz w:val="32"/>
          <w:szCs w:val="32"/>
        </w:rPr>
        <w:t>。</w:t>
      </w:r>
    </w:p>
    <w:p>
      <w:pPr>
        <w:pStyle w:val="8"/>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eastAsia="仿宋_GB2312"/>
          <w:snapToGrid/>
          <w:color w:val="000000"/>
          <w:spacing w:val="0"/>
          <w:kern w:val="2"/>
          <w:szCs w:val="32"/>
        </w:rPr>
      </w:pPr>
      <w:r>
        <w:rPr>
          <w:rFonts w:hint="eastAsia" w:eastAsia="黑体"/>
          <w:snapToGrid/>
          <w:color w:val="000000"/>
          <w:spacing w:val="0"/>
          <w:kern w:val="2"/>
          <w:szCs w:val="32"/>
        </w:rPr>
        <w:t>第二十八</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Cs w:val="32"/>
        </w:rPr>
        <w:t>市科学技术协会以及有关部门应当建立科普志愿者组织管理制度，加强科普志愿服务组织和队伍建设，开展科普志愿服务培训和经验推广等工作。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napToGrid/>
          <w:color w:val="000000"/>
          <w:spacing w:val="0"/>
          <w:kern w:val="2"/>
          <w:sz w:val="32"/>
          <w:szCs w:val="32"/>
          <w:u w:val="none"/>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snapToGrid/>
          <w:color w:val="000000"/>
          <w:spacing w:val="0"/>
          <w:kern w:val="2"/>
        </w:rPr>
      </w:pPr>
      <w:r>
        <w:rPr>
          <w:rFonts w:hint="eastAsia" w:ascii="黑体" w:hAnsi="黑体" w:eastAsia="黑体" w:cs="黑体"/>
          <w:snapToGrid/>
          <w:color w:val="000000"/>
          <w:spacing w:val="0"/>
          <w:kern w:val="2"/>
          <w:sz w:val="32"/>
          <w:szCs w:val="32"/>
          <w:lang w:val="en-US" w:eastAsia="zh-CN" w:bidi="ar-SA"/>
        </w:rPr>
        <w:t>第六章</w:t>
      </w:r>
      <w:r>
        <w:rPr>
          <w:rFonts w:hint="eastAsia" w:eastAsia="黑体"/>
          <w:snapToGrid/>
          <w:color w:val="000000"/>
          <w:spacing w:val="0"/>
          <w:kern w:val="2"/>
          <w:sz w:val="32"/>
          <w:szCs w:val="32"/>
          <w:lang w:eastAsia="zh-CN"/>
        </w:rPr>
        <w:t>　</w:t>
      </w:r>
      <w:r>
        <w:rPr>
          <w:rFonts w:eastAsia="黑体"/>
          <w:snapToGrid/>
          <w:color w:val="000000"/>
          <w:spacing w:val="0"/>
          <w:kern w:val="2"/>
          <w:sz w:val="32"/>
          <w:szCs w:val="32"/>
        </w:rPr>
        <w:t>附　　则</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napToGrid/>
          <w:color w:val="000000"/>
          <w:spacing w:val="0"/>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snapToGrid/>
          <w:color w:val="000000"/>
          <w:spacing w:val="0"/>
          <w:kern w:val="2"/>
          <w:sz w:val="32"/>
          <w:szCs w:val="32"/>
          <w:lang w:val="en-US" w:eastAsia="zh-CN"/>
        </w:rPr>
      </w:pPr>
      <w:r>
        <w:rPr>
          <w:rFonts w:eastAsia="黑体"/>
          <w:snapToGrid/>
          <w:color w:val="000000"/>
          <w:spacing w:val="0"/>
          <w:kern w:val="2"/>
          <w:sz w:val="32"/>
          <w:szCs w:val="32"/>
        </w:rPr>
        <w:t>第</w:t>
      </w:r>
      <w:r>
        <w:rPr>
          <w:rFonts w:hint="eastAsia" w:eastAsia="黑体"/>
          <w:snapToGrid/>
          <w:color w:val="000000"/>
          <w:spacing w:val="0"/>
          <w:kern w:val="2"/>
          <w:sz w:val="32"/>
          <w:szCs w:val="32"/>
        </w:rPr>
        <w:t>二十九</w:t>
      </w:r>
      <w:r>
        <w:rPr>
          <w:rFonts w:eastAsia="黑体"/>
          <w:snapToGrid/>
          <w:color w:val="000000"/>
          <w:spacing w:val="0"/>
          <w:kern w:val="2"/>
          <w:sz w:val="32"/>
          <w:szCs w:val="32"/>
        </w:rPr>
        <w:t>条</w:t>
      </w:r>
      <w:r>
        <w:rPr>
          <w:rFonts w:hint="eastAsia"/>
          <w:snapToGrid/>
          <w:color w:val="000000"/>
          <w:spacing w:val="0"/>
          <w:kern w:val="2"/>
          <w:sz w:val="32"/>
          <w:szCs w:val="32"/>
          <w:lang w:eastAsia="zh-CN"/>
        </w:rPr>
        <w:t>　</w:t>
      </w:r>
      <w:r>
        <w:rPr>
          <w:rFonts w:hint="eastAsia" w:eastAsia="仿宋_GB2312"/>
          <w:snapToGrid/>
          <w:color w:val="000000"/>
          <w:spacing w:val="0"/>
          <w:kern w:val="2"/>
          <w:sz w:val="32"/>
          <w:szCs w:val="32"/>
        </w:rPr>
        <w:t>本条例自2023年7月1日起施行。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script"/>
    <w:pitch w:val="default"/>
    <w:sig w:usb0="00000000" w:usb1="00000000" w:usb2="00082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F85E9"/>
    <w:multiLevelType w:val="singleLevel"/>
    <w:tmpl w:val="FBDF85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B20860"/>
    <w:rsid w:val="0D9804AC"/>
    <w:rsid w:val="11054319"/>
    <w:rsid w:val="11E4354D"/>
    <w:rsid w:val="126B3FF7"/>
    <w:rsid w:val="16BA5F81"/>
    <w:rsid w:val="1BAB226E"/>
    <w:rsid w:val="1C00080C"/>
    <w:rsid w:val="1CA94A00"/>
    <w:rsid w:val="23E826CC"/>
    <w:rsid w:val="2DB4438A"/>
    <w:rsid w:val="31E9151E"/>
    <w:rsid w:val="392D1EC7"/>
    <w:rsid w:val="3AAA561F"/>
    <w:rsid w:val="3AB66220"/>
    <w:rsid w:val="3DE63740"/>
    <w:rsid w:val="3FBB675E"/>
    <w:rsid w:val="481351D2"/>
    <w:rsid w:val="53543565"/>
    <w:rsid w:val="558A062C"/>
    <w:rsid w:val="5F981276"/>
    <w:rsid w:val="60ED7553"/>
    <w:rsid w:val="61C64CD9"/>
    <w:rsid w:val="622F12CF"/>
    <w:rsid w:val="653E08AD"/>
    <w:rsid w:val="6A973924"/>
    <w:rsid w:val="6C6275A3"/>
    <w:rsid w:val="6CA47B3E"/>
    <w:rsid w:val="71B9247E"/>
    <w:rsid w:val="73D47729"/>
    <w:rsid w:val="7B7C076E"/>
    <w:rsid w:val="7F47D4FE"/>
    <w:rsid w:val="7FBC7F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9"/>
    <w:pPr>
      <w:widowControl/>
      <w:spacing w:after="150"/>
      <w:jc w:val="left"/>
      <w:outlineLvl w:val="0"/>
    </w:pPr>
    <w:rPr>
      <w:rFonts w:ascii="宋体" w:hAnsi="宋体" w:cs="宋体"/>
      <w:b/>
      <w:bCs/>
      <w:kern w:val="36"/>
      <w:sz w:val="36"/>
      <w:szCs w:val="36"/>
    </w:rPr>
  </w:style>
  <w:style w:type="paragraph" w:styleId="4">
    <w:name w:val="heading 4"/>
    <w:basedOn w:val="1"/>
    <w:next w:val="1"/>
    <w:qFormat/>
    <w:uiPriority w:val="1"/>
    <w:pPr>
      <w:spacing w:before="214"/>
      <w:ind w:left="0" w:firstLine="0" w:firstLineChars="0"/>
      <w:jc w:val="center"/>
      <w:outlineLvl w:val="3"/>
    </w:pPr>
    <w:rPr>
      <w:rFonts w:eastAsia="方正黑体_GBK"/>
      <w:sz w:val="28"/>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paragraph" w:styleId="5">
    <w:name w:val="Normal Indent"/>
    <w:basedOn w:val="1"/>
    <w:next w:val="1"/>
    <w:qFormat/>
    <w:uiPriority w:val="0"/>
    <w:pPr>
      <w:ind w:firstLine="420" w:firstLineChars="200"/>
    </w:pPr>
    <w:rPr>
      <w:rFonts w:ascii="Calibri" w:hAnsi="Calibri" w:eastAsia="宋体"/>
    </w:rPr>
  </w:style>
  <w:style w:type="paragraph" w:styleId="6">
    <w:name w:val="Body Text"/>
    <w:basedOn w:val="1"/>
    <w:qFormat/>
    <w:uiPriority w:val="0"/>
    <w:pPr>
      <w:spacing w:after="120"/>
    </w:pPr>
  </w:style>
  <w:style w:type="paragraph" w:styleId="7">
    <w:name w:val="Plain Text"/>
    <w:basedOn w:val="1"/>
    <w:qFormat/>
    <w:uiPriority w:val="0"/>
    <w:rPr>
      <w:rFonts w:ascii="宋体" w:cs="Courier New"/>
      <w:szCs w:val="21"/>
    </w:rPr>
  </w:style>
  <w:style w:type="paragraph" w:styleId="8">
    <w:name w:val="Body Text Indent 2"/>
    <w:basedOn w:val="9"/>
    <w:next w:val="1"/>
    <w:unhideWhenUsed/>
    <w:qFormat/>
    <w:uiPriority w:val="0"/>
    <w:pPr>
      <w:spacing w:line="590" w:lineRule="exact"/>
      <w:ind w:firstLine="880" w:firstLineChars="200"/>
    </w:pPr>
    <w:rPr>
      <w:rFonts w:eastAsia="方正仿宋_GBK"/>
    </w:rPr>
  </w:style>
  <w:style w:type="paragraph" w:customStyle="1" w:styleId="9">
    <w:name w:val="正文_0"/>
    <w:next w:val="8"/>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character" w:styleId="15">
    <w:name w:val="Strong"/>
    <w:basedOn w:val="14"/>
    <w:qFormat/>
    <w:uiPriority w:val="22"/>
    <w:rPr>
      <w:bCs/>
    </w:rPr>
  </w:style>
  <w:style w:type="character" w:styleId="16">
    <w:name w:val="page number"/>
    <w:basedOn w:val="14"/>
    <w:qFormat/>
    <w:uiPriority w:val="99"/>
    <w:rPr>
      <w:rFonts w:cs="Times New Roman"/>
    </w:rPr>
  </w:style>
  <w:style w:type="character" w:styleId="17">
    <w:name w:val="FollowedHyperlink"/>
    <w:unhideWhenUsed/>
    <w:qFormat/>
    <w:uiPriority w:val="99"/>
    <w:rPr>
      <w:color w:val="954F72"/>
      <w:u w:val="single"/>
    </w:rPr>
  </w:style>
  <w:style w:type="character" w:styleId="18">
    <w:name w:val="Hyperlink"/>
    <w:qFormat/>
    <w:uiPriority w:val="99"/>
    <w:rPr>
      <w:rFonts w:hint="default" w:ascii="ˎ̥" w:hAnsi="ˎ̥"/>
      <w:color w:val="0404B3"/>
      <w:sz w:val="18"/>
      <w:szCs w:val="18"/>
      <w:u w:val="none"/>
    </w:rPr>
  </w:style>
  <w:style w:type="character" w:customStyle="1" w:styleId="19">
    <w:name w:val="页脚 字符"/>
    <w:link w:val="10"/>
    <w:qFormat/>
    <w:uiPriority w:val="99"/>
    <w:rPr>
      <w:sz w:val="18"/>
      <w:szCs w:val="18"/>
    </w:rPr>
  </w:style>
  <w:style w:type="character" w:customStyle="1" w:styleId="20">
    <w:name w:val="页眉 字符"/>
    <w:link w:val="11"/>
    <w:qFormat/>
    <w:uiPriority w:val="99"/>
    <w:rPr>
      <w:sz w:val="18"/>
      <w:szCs w:val="18"/>
    </w:rPr>
  </w:style>
  <w:style w:type="paragraph" w:customStyle="1" w:styleId="21">
    <w:name w:val="paragraph"/>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3771</Words>
  <Characters>3782</Characters>
  <Lines>1</Lines>
  <Paragraphs>1</Paragraphs>
  <TotalTime>30</TotalTime>
  <ScaleCrop>false</ScaleCrop>
  <LinksUpToDate>false</LinksUpToDate>
  <CharactersWithSpaces>3834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2023-08-28T03:59:32Z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