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kern w:val="2"/>
          <w:sz w:val="44"/>
          <w:szCs w:val="44"/>
          <w:lang w:val="en-US" w:eastAsia="zh-CN"/>
        </w:rPr>
      </w:pPr>
      <w:r>
        <w:rPr>
          <w:rFonts w:hint="eastAsia" w:ascii="宋体" w:hAnsi="宋体" w:eastAsia="宋体" w:cs="宋体"/>
          <w:b w:val="0"/>
          <w:bCs w:val="0"/>
          <w:kern w:val="2"/>
          <w:sz w:val="44"/>
          <w:szCs w:val="44"/>
          <w:lang w:val="en-US" w:eastAsia="zh-CN"/>
        </w:rPr>
        <w:t>宿州市夹沟香稻米保护条例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kern w:val="2"/>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default" w:ascii="Times New Roman" w:hAnsi="Times New Roman" w:eastAsia="楷体_GB2312" w:cs="Times New Roman"/>
          <w:kern w:val="2"/>
          <w:sz w:val="32"/>
          <w:szCs w:val="32"/>
          <w:lang w:val="en-US" w:eastAsia="zh-CN"/>
        </w:rPr>
      </w:pPr>
      <w:r>
        <w:rPr>
          <w:rFonts w:hint="default" w:ascii="Times New Roman" w:hAnsi="Times New Roman" w:eastAsia="楷体_GB2312" w:cs="Times New Roman"/>
          <w:b w:val="0"/>
          <w:i w:val="0"/>
          <w:caps w:val="0"/>
          <w:color w:val="000000"/>
          <w:spacing w:val="0"/>
          <w:kern w:val="2"/>
          <w:sz w:val="32"/>
          <w:szCs w:val="32"/>
          <w:shd w:val="clear" w:color="auto" w:fill="FFFFFF"/>
          <w:lang w:val="en-US" w:eastAsia="zh-CN"/>
        </w:rPr>
        <w:t>（2023</w:t>
      </w:r>
      <w:r>
        <w:rPr>
          <w:rFonts w:hint="default" w:ascii="Times New Roman" w:hAnsi="Times New Roman" w:eastAsia="楷体_GB2312" w:cs="Times New Roman"/>
          <w:kern w:val="2"/>
          <w:sz w:val="32"/>
          <w:szCs w:val="32"/>
          <w:lang w:val="en-US" w:eastAsia="zh-CN"/>
        </w:rPr>
        <w:t>年</w:t>
      </w:r>
      <w:r>
        <w:rPr>
          <w:rFonts w:hint="default" w:ascii="Times New Roman" w:hAnsi="Times New Roman" w:eastAsia="楷体_GB2312" w:cs="Times New Roman"/>
          <w:b w:val="0"/>
          <w:i w:val="0"/>
          <w:caps w:val="0"/>
          <w:color w:val="000000"/>
          <w:spacing w:val="0"/>
          <w:kern w:val="2"/>
          <w:sz w:val="32"/>
          <w:szCs w:val="32"/>
          <w:shd w:val="clear" w:color="auto" w:fill="FFFFFF"/>
          <w:lang w:val="en-US" w:eastAsia="zh-CN"/>
        </w:rPr>
        <w:t>3</w:t>
      </w:r>
      <w:r>
        <w:rPr>
          <w:rFonts w:hint="default" w:ascii="Times New Roman" w:hAnsi="Times New Roman" w:eastAsia="楷体_GB2312" w:cs="Times New Roman"/>
          <w:kern w:val="2"/>
          <w:sz w:val="32"/>
          <w:szCs w:val="32"/>
          <w:lang w:val="en-US" w:eastAsia="zh-CN"/>
        </w:rPr>
        <w:t>月</w:t>
      </w:r>
      <w:r>
        <w:rPr>
          <w:rFonts w:hint="default" w:ascii="Times New Roman" w:hAnsi="Times New Roman" w:eastAsia="楷体_GB2312" w:cs="Times New Roman"/>
          <w:b w:val="0"/>
          <w:i w:val="0"/>
          <w:caps w:val="0"/>
          <w:color w:val="000000"/>
          <w:spacing w:val="0"/>
          <w:kern w:val="2"/>
          <w:sz w:val="32"/>
          <w:szCs w:val="32"/>
          <w:shd w:val="clear" w:color="auto" w:fill="FFFFFF"/>
          <w:lang w:val="en-US" w:eastAsia="zh-CN"/>
        </w:rPr>
        <w:t>28</w:t>
      </w:r>
      <w:r>
        <w:rPr>
          <w:rFonts w:hint="default" w:ascii="Times New Roman" w:hAnsi="Times New Roman" w:eastAsia="楷体_GB2312" w:cs="Times New Roman"/>
          <w:kern w:val="2"/>
          <w:sz w:val="32"/>
          <w:szCs w:val="32"/>
          <w:lang w:val="en-US" w:eastAsia="zh-CN"/>
        </w:rPr>
        <w:t>日宿州市第六届人民代表大会常务委员会第七次会议通过　</w:t>
      </w:r>
      <w:r>
        <w:rPr>
          <w:rStyle w:val="11"/>
          <w:rFonts w:hint="default" w:ascii="Times New Roman" w:hAnsi="Times New Roman" w:eastAsia="楷体_GB2312" w:cs="Times New Roman"/>
          <w:b w:val="0"/>
          <w:bCs w:val="0"/>
          <w:color w:val="auto"/>
          <w:spacing w:val="0"/>
          <w:sz w:val="32"/>
          <w:szCs w:val="32"/>
          <w:lang w:val="en-US" w:eastAsia="zh-CN"/>
        </w:rPr>
        <w:t>2023年5月26日安徽省第十四届人民代表大会常务委员会第二次会议批准</w:t>
      </w:r>
      <w:r>
        <w:rPr>
          <w:rFonts w:hint="default" w:ascii="Times New Roman" w:hAnsi="Times New Roman" w:eastAsia="楷体_GB2312" w:cs="Times New Roman"/>
          <w:b w:val="0"/>
          <w:i w:val="0"/>
          <w:caps w:val="0"/>
          <w:color w:val="000000"/>
          <w:spacing w:val="0"/>
          <w:kern w:val="2"/>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val="0"/>
          <w:kern w:val="2"/>
          <w:sz w:val="32"/>
          <w:szCs w:val="32"/>
          <w:lang w:eastAsia="zh-CN"/>
        </w:rPr>
        <w:t>第一条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为了加强夹沟香稻米保护，促进夹沟香稻米产业持续健康发展，根据《中华人民共和国农产品质量安全法》和有关法律、行政法规，结合本市实际，制定本条例。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方正仿宋_GBK" w:hAnsi="方正仿宋_GBK" w:eastAsia="方正仿宋_GBK" w:cs="方正仿宋_GBK"/>
          <w:kern w:val="2"/>
          <w:sz w:val="32"/>
          <w:szCs w:val="32"/>
          <w:lang w:val="en-US" w:eastAsia="zh-CN"/>
        </w:rPr>
      </w:pPr>
      <w:r>
        <w:rPr>
          <w:rFonts w:hint="eastAsia" w:ascii="黑体" w:hAnsi="黑体" w:eastAsia="黑体" w:cs="黑体"/>
          <w:b w:val="0"/>
          <w:bCs w:val="0"/>
          <w:kern w:val="2"/>
          <w:sz w:val="32"/>
          <w:szCs w:val="32"/>
          <w:lang w:eastAsia="zh-CN"/>
        </w:rPr>
        <w:t>第二条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本条例适用于本市行政区域内夹沟香稻米的种质资源保护、种植、加工、销售、知识产权保护等保护和发展工作及其监督管理等活动。</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val="0"/>
          <w:kern w:val="2"/>
          <w:sz w:val="32"/>
          <w:szCs w:val="32"/>
          <w:lang w:val="en-US" w:eastAsia="zh-CN"/>
        </w:rPr>
        <w:t>第三</w:t>
      </w:r>
      <w:r>
        <w:rPr>
          <w:rFonts w:hint="eastAsia" w:ascii="黑体" w:hAnsi="黑体" w:eastAsia="黑体" w:cs="黑体"/>
          <w:b w:val="0"/>
          <w:bCs w:val="0"/>
          <w:kern w:val="2"/>
          <w:sz w:val="32"/>
          <w:szCs w:val="32"/>
          <w:lang w:eastAsia="zh-CN"/>
        </w:rPr>
        <w:t>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市、埇桥区人民政府应当将夹沟香稻米保护和发展纳入本级国民经济和社会发展规划，依法制定扶持夹沟香稻米保护和发展的有关政策措施。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埇桥区人民政府农业农村部门具体负责夹沟香稻米保护和发展工作。市、埇桥区人民政府市场监督管理、生态环境、文化和旅游等有关部门、夹沟镇人民政府按照各自职责，做好夹沟香稻米保护和发展有关工作。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val="0"/>
          <w:kern w:val="2"/>
          <w:sz w:val="32"/>
          <w:szCs w:val="32"/>
          <w:lang w:val="en-US" w:eastAsia="zh-CN"/>
        </w:rPr>
        <w:t>第四</w:t>
      </w:r>
      <w:r>
        <w:rPr>
          <w:rFonts w:hint="eastAsia" w:ascii="黑体" w:hAnsi="黑体" w:eastAsia="黑体" w:cs="黑体"/>
          <w:b w:val="0"/>
          <w:bCs w:val="0"/>
          <w:kern w:val="2"/>
          <w:sz w:val="32"/>
          <w:szCs w:val="32"/>
          <w:lang w:eastAsia="zh-CN"/>
        </w:rPr>
        <w:t>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埇桥区人民政府应当制定并组织实施夹沟香稻米保护和发展规划。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方正仿宋_GBK" w:hAnsi="方正仿宋_GBK" w:eastAsia="方正仿宋_GBK" w:cs="方正仿宋_GBK"/>
          <w:kern w:val="2"/>
          <w:sz w:val="32"/>
          <w:szCs w:val="32"/>
          <w:lang w:val="en-US" w:eastAsia="zh-CN"/>
        </w:rPr>
      </w:pPr>
      <w:r>
        <w:rPr>
          <w:rFonts w:hint="eastAsia" w:ascii="仿宋_GB2312" w:hAnsi="仿宋_GB2312" w:eastAsia="仿宋_GB2312" w:cs="仿宋_GB2312"/>
          <w:kern w:val="2"/>
          <w:sz w:val="32"/>
          <w:szCs w:val="32"/>
          <w:lang w:val="en-US" w:eastAsia="zh-CN"/>
        </w:rPr>
        <w:t>夹沟镇人民政府编制镇国土空间规划、夹沟香稻米产地所在村村庄规划时，应当结合夹沟香稻米保护和发展规划，统筹安排种植、加工等有关用地布局。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val="0"/>
          <w:kern w:val="2"/>
          <w:sz w:val="32"/>
          <w:szCs w:val="32"/>
          <w:lang w:eastAsia="zh-CN"/>
        </w:rPr>
        <w:t>第</w:t>
      </w:r>
      <w:r>
        <w:rPr>
          <w:rFonts w:hint="eastAsia" w:ascii="黑体" w:hAnsi="黑体" w:eastAsia="黑体" w:cs="黑体"/>
          <w:b w:val="0"/>
          <w:bCs w:val="0"/>
          <w:kern w:val="2"/>
          <w:sz w:val="32"/>
          <w:szCs w:val="32"/>
          <w:lang w:val="en-US" w:eastAsia="zh-CN"/>
        </w:rPr>
        <w:t>五</w:t>
      </w:r>
      <w:r>
        <w:rPr>
          <w:rFonts w:hint="eastAsia" w:ascii="黑体" w:hAnsi="黑体" w:eastAsia="黑体" w:cs="黑体"/>
          <w:b w:val="0"/>
          <w:bCs w:val="0"/>
          <w:kern w:val="2"/>
          <w:sz w:val="32"/>
          <w:szCs w:val="32"/>
          <w:lang w:eastAsia="zh-CN"/>
        </w:rPr>
        <w:t>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市、埇桥区人民政府农业农村部门应当定期对夹沟香稻米种质资源进行普查，建立种质资源档案，并送交国家、省种质资源库。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市、埇桥区农业科研机构应当收集和保存夹沟香稻米种质资源，并进行种质资源评价。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方正仿宋_GBK" w:hAnsi="方正仿宋_GBK" w:eastAsia="方正仿宋_GBK" w:cs="方正仿宋_GBK"/>
          <w:kern w:val="2"/>
          <w:sz w:val="32"/>
          <w:szCs w:val="32"/>
          <w:lang w:val="en-US" w:eastAsia="zh-CN"/>
        </w:rPr>
      </w:pPr>
      <w:r>
        <w:rPr>
          <w:rFonts w:hint="eastAsia" w:ascii="仿宋_GB2312" w:hAnsi="仿宋_GB2312" w:eastAsia="仿宋_GB2312" w:cs="仿宋_GB2312"/>
          <w:kern w:val="2"/>
          <w:sz w:val="32"/>
          <w:szCs w:val="32"/>
          <w:lang w:val="en-US" w:eastAsia="zh-CN"/>
        </w:rPr>
        <w:t>任何组织和个人不得侵占和破坏夹沟香稻米种质资源。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第六</w:t>
      </w:r>
      <w:r>
        <w:rPr>
          <w:rFonts w:hint="eastAsia" w:ascii="黑体" w:hAnsi="黑体" w:eastAsia="黑体" w:cs="黑体"/>
          <w:b w:val="0"/>
          <w:bCs w:val="0"/>
          <w:kern w:val="2"/>
          <w:sz w:val="32"/>
          <w:szCs w:val="32"/>
          <w:lang w:eastAsia="zh-CN"/>
        </w:rPr>
        <w:t>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市、埇桥区人民政府及其有关部门应当加强夹沟香稻米种子提纯工作，对夹沟香稻米育种、示范推广、种质资源保护等应当按照国家、省有关规定予以扶持。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val="0"/>
          <w:kern w:val="2"/>
          <w:sz w:val="32"/>
          <w:szCs w:val="32"/>
          <w:lang w:val="en-US" w:eastAsia="zh-CN"/>
        </w:rPr>
        <w:t>第七</w:t>
      </w:r>
      <w:r>
        <w:rPr>
          <w:rFonts w:hint="eastAsia" w:ascii="黑体" w:hAnsi="黑体" w:eastAsia="黑体" w:cs="黑体"/>
          <w:b w:val="0"/>
          <w:bCs w:val="0"/>
          <w:kern w:val="2"/>
          <w:sz w:val="32"/>
          <w:szCs w:val="32"/>
          <w:lang w:eastAsia="zh-CN"/>
        </w:rPr>
        <w:t>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埇桥区人民政府或者其指定的协会、企业应当组织制定夹沟香稻米生产技术规范、管理规范，并征求夹沟香稻米生产经营者和有关部门、协会的意见。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埇桥区人民政府应当科学界定夹沟香稻米灌溉水源和种质资源范围，并纳入夹沟香稻米生产技术规范、管理规范。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夹沟香稻米生产经营者应当依照法律、法规规定，按照夹沟香稻米生产技术规范、管理规范等从事生产经营活动，不得超范围、超限量使用农业投入品危及农产品质量安全。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val="0"/>
          <w:kern w:val="2"/>
          <w:sz w:val="32"/>
          <w:szCs w:val="32"/>
          <w:lang w:eastAsia="zh-CN"/>
        </w:rPr>
        <w:t>第</w:t>
      </w:r>
      <w:r>
        <w:rPr>
          <w:rFonts w:hint="eastAsia" w:ascii="黑体" w:hAnsi="黑体" w:eastAsia="黑体" w:cs="黑体"/>
          <w:b w:val="0"/>
          <w:bCs w:val="0"/>
          <w:kern w:val="2"/>
          <w:sz w:val="32"/>
          <w:szCs w:val="32"/>
          <w:lang w:val="en-US" w:eastAsia="zh-CN"/>
        </w:rPr>
        <w:t>八</w:t>
      </w:r>
      <w:r>
        <w:rPr>
          <w:rFonts w:hint="eastAsia" w:ascii="黑体" w:hAnsi="黑体" w:eastAsia="黑体" w:cs="黑体"/>
          <w:b w:val="0"/>
          <w:bCs w:val="0"/>
          <w:kern w:val="2"/>
          <w:sz w:val="32"/>
          <w:szCs w:val="32"/>
          <w:lang w:eastAsia="zh-CN"/>
        </w:rPr>
        <w:t>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埇桥区人民政府农业农村、生态环境部门应当定期组织对夹沟香稻米种植区域的土壤环境、灌溉用水水质、大气环境质量进行监测和评价。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任何组织和个人不得违反有关环境保护法律、法规的规定向夹沟香稻米种植区域排放或者倾倒废水、废气、固体废物或者其他有毒有害物质。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val="0"/>
          <w:kern w:val="2"/>
          <w:sz w:val="32"/>
          <w:szCs w:val="32"/>
          <w:lang w:val="en-US" w:eastAsia="zh-CN"/>
        </w:rPr>
        <w:t>第九</w:t>
      </w:r>
      <w:r>
        <w:rPr>
          <w:rFonts w:hint="eastAsia" w:ascii="黑体" w:hAnsi="黑体" w:eastAsia="黑体" w:cs="黑体"/>
          <w:b w:val="0"/>
          <w:bCs w:val="0"/>
          <w:kern w:val="2"/>
          <w:sz w:val="32"/>
          <w:szCs w:val="32"/>
          <w:lang w:eastAsia="zh-CN"/>
        </w:rPr>
        <w:t>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埇桥区人民政府应当依法划定夹沟香稻米生产保护区，明确保护单位及其职责，并为保护单位开展工作提供必要的经费支持。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val="0"/>
          <w:kern w:val="2"/>
          <w:sz w:val="32"/>
          <w:szCs w:val="32"/>
          <w:lang w:val="en-US" w:eastAsia="zh-CN"/>
        </w:rPr>
        <w:t>第十</w:t>
      </w:r>
      <w:r>
        <w:rPr>
          <w:rFonts w:hint="eastAsia" w:ascii="黑体" w:hAnsi="黑体" w:eastAsia="黑体" w:cs="黑体"/>
          <w:b w:val="0"/>
          <w:bCs w:val="0"/>
          <w:kern w:val="2"/>
          <w:sz w:val="32"/>
          <w:szCs w:val="32"/>
          <w:lang w:eastAsia="zh-CN"/>
        </w:rPr>
        <w:t>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夹沟香稻米生产经营者不得伪造夹沟香稻米产地，伪造或者冒用他人的厂名、厂址；不得在非夹沟香稻米的包装、宣传上使用易产生误解和混淆的名称、地名或者标识以及可能误导消费者的文字或者图案标志。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val="0"/>
          <w:kern w:val="2"/>
          <w:sz w:val="32"/>
          <w:szCs w:val="32"/>
          <w:lang w:val="en-US" w:eastAsia="zh-CN"/>
        </w:rPr>
        <w:t>第十一</w:t>
      </w:r>
      <w:r>
        <w:rPr>
          <w:rFonts w:hint="eastAsia" w:ascii="黑体" w:hAnsi="黑体" w:eastAsia="黑体" w:cs="黑体"/>
          <w:b w:val="0"/>
          <w:bCs w:val="0"/>
          <w:kern w:val="2"/>
          <w:sz w:val="32"/>
          <w:szCs w:val="32"/>
          <w:lang w:eastAsia="zh-CN"/>
        </w:rPr>
        <w:t>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埇桥区人民政府及其有关部门应当加强夹沟香稻米质量安全追溯体系建设。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夹沟香稻米生产经营者应当依法建立和保存夹沟香稻米生产记录、销售记录。鼓励夹沟香稻米生产经营者采用现代信息技术收集、留存生产经营信息。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val="0"/>
          <w:kern w:val="2"/>
          <w:sz w:val="32"/>
          <w:szCs w:val="32"/>
          <w:lang w:val="en-US" w:eastAsia="zh-CN"/>
        </w:rPr>
        <w:t>第十二</w:t>
      </w:r>
      <w:r>
        <w:rPr>
          <w:rFonts w:hint="eastAsia" w:ascii="黑体" w:hAnsi="黑体" w:eastAsia="黑体" w:cs="黑体"/>
          <w:b w:val="0"/>
          <w:bCs w:val="0"/>
          <w:kern w:val="2"/>
          <w:sz w:val="32"/>
          <w:szCs w:val="32"/>
          <w:lang w:eastAsia="zh-CN"/>
        </w:rPr>
        <w:t>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鼓励夹沟香稻米生产经营者申请绿色食品、有机农产品等优质农产品认证、依法使用“夹沟香稻米”地理标志证明商标，对新获得绿色食品、有机农产品认证的夹沟香稻米生产经营者，由市人民政府有关部门、埇桥区人民政府予以适当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埇桥区人民政府应当加强“夹沟香稻米”地理标志产品的申请和保护工作，保障“夹沟香稻米”地理标志产品保护申请所需经费。市人民政府农业农村、市场监督管理等部门应当对“夹沟香稻米”地理标志产品的申请和保护工作予以支持和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val="0"/>
          <w:kern w:val="2"/>
          <w:sz w:val="32"/>
          <w:szCs w:val="32"/>
          <w:lang w:eastAsia="zh-CN"/>
        </w:rPr>
        <w:t>第十</w:t>
      </w:r>
      <w:r>
        <w:rPr>
          <w:rFonts w:hint="eastAsia" w:ascii="黑体" w:hAnsi="黑体" w:eastAsia="黑体" w:cs="黑体"/>
          <w:b w:val="0"/>
          <w:bCs w:val="0"/>
          <w:kern w:val="2"/>
          <w:sz w:val="32"/>
          <w:szCs w:val="32"/>
          <w:lang w:val="en-US" w:eastAsia="zh-CN"/>
        </w:rPr>
        <w:t>三</w:t>
      </w:r>
      <w:r>
        <w:rPr>
          <w:rFonts w:hint="eastAsia" w:ascii="黑体" w:hAnsi="黑体" w:eastAsia="黑体" w:cs="黑体"/>
          <w:b w:val="0"/>
          <w:bCs w:val="0"/>
          <w:kern w:val="2"/>
          <w:sz w:val="32"/>
          <w:szCs w:val="32"/>
          <w:lang w:eastAsia="zh-CN"/>
        </w:rPr>
        <w:t>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市、埇桥区人民政府应当促进金融机构与夹沟香稻米生产经营者开展合作，鼓励金融机构开发适合夹沟香稻米生产经营者特点的金融产品和服务。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val="0"/>
          <w:kern w:val="2"/>
          <w:sz w:val="32"/>
          <w:szCs w:val="32"/>
          <w:lang w:val="en-US" w:eastAsia="zh-CN"/>
        </w:rPr>
        <w:t>第十四</w:t>
      </w:r>
      <w:r>
        <w:rPr>
          <w:rFonts w:hint="eastAsia" w:ascii="黑体" w:hAnsi="黑体" w:eastAsia="黑体" w:cs="黑体"/>
          <w:b w:val="0"/>
          <w:bCs w:val="0"/>
          <w:kern w:val="2"/>
          <w:sz w:val="32"/>
          <w:szCs w:val="32"/>
          <w:lang w:eastAsia="zh-CN"/>
        </w:rPr>
        <w:t>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市、埇桥区人民政府文化和旅游部门应当加强对夹沟香稻米传统耕作技艺、故事传说等夹沟香稻米文化的搜集、整理、研究，并合理开发利用。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鼓励夹沟香稻米生产经营者或者其他单位、个人设立夹沟香稻米文化展示场所。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val="0"/>
          <w:kern w:val="2"/>
          <w:sz w:val="32"/>
          <w:szCs w:val="32"/>
          <w:lang w:eastAsia="zh-CN"/>
        </w:rPr>
        <w:t>第十</w:t>
      </w:r>
      <w:r>
        <w:rPr>
          <w:rFonts w:hint="eastAsia" w:ascii="黑体" w:hAnsi="黑体" w:eastAsia="黑体" w:cs="黑体"/>
          <w:b w:val="0"/>
          <w:bCs w:val="0"/>
          <w:kern w:val="2"/>
          <w:sz w:val="32"/>
          <w:szCs w:val="32"/>
          <w:lang w:val="en-US" w:eastAsia="zh-CN"/>
        </w:rPr>
        <w:t>五</w:t>
      </w:r>
      <w:r>
        <w:rPr>
          <w:rFonts w:hint="eastAsia" w:ascii="黑体" w:hAnsi="黑体" w:eastAsia="黑体" w:cs="黑体"/>
          <w:b w:val="0"/>
          <w:bCs w:val="0"/>
          <w:kern w:val="2"/>
          <w:sz w:val="32"/>
          <w:szCs w:val="32"/>
          <w:lang w:eastAsia="zh-CN"/>
        </w:rPr>
        <w:t>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市、埇桥区人民政府农业农村、市场监督管理等部门应当建立健全监督管理协作机制，依法查处夹沟香稻米生产经营活动中产品质量安全、知识产权保护等方面的违法行为，维护夹沟香稻米市场秩序。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kern w:val="2"/>
          <w:sz w:val="32"/>
          <w:szCs w:val="32"/>
        </w:rPr>
        <w:t>第</w:t>
      </w:r>
      <w:r>
        <w:rPr>
          <w:rFonts w:hint="eastAsia" w:ascii="黑体" w:hAnsi="黑体" w:eastAsia="黑体" w:cs="黑体"/>
          <w:b w:val="0"/>
          <w:bCs w:val="0"/>
          <w:kern w:val="2"/>
          <w:sz w:val="32"/>
          <w:szCs w:val="32"/>
          <w:lang w:eastAsia="zh-CN"/>
        </w:rPr>
        <w:t>十</w:t>
      </w:r>
      <w:r>
        <w:rPr>
          <w:rFonts w:hint="eastAsia" w:ascii="黑体" w:hAnsi="黑体" w:eastAsia="黑体" w:cs="黑体"/>
          <w:b w:val="0"/>
          <w:bCs w:val="0"/>
          <w:kern w:val="2"/>
          <w:sz w:val="32"/>
          <w:szCs w:val="32"/>
          <w:lang w:val="en-US" w:eastAsia="zh-CN"/>
        </w:rPr>
        <w:t>六</w:t>
      </w:r>
      <w:r>
        <w:rPr>
          <w:rFonts w:hint="eastAsia" w:ascii="黑体" w:hAnsi="黑体" w:eastAsia="黑体" w:cs="黑体"/>
          <w:b w:val="0"/>
          <w:bCs w:val="0"/>
          <w:kern w:val="2"/>
          <w:sz w:val="32"/>
          <w:szCs w:val="32"/>
          <w:lang w:eastAsia="zh-CN"/>
        </w:rPr>
        <w:t>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市、埇桥区人民政府农业农村、市场监督管理等部门应当依法建立夹沟香稻米生产经营者信用记录，记载行政处罚等信息。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val="0"/>
          <w:kern w:val="2"/>
          <w:sz w:val="32"/>
          <w:szCs w:val="32"/>
          <w:lang w:eastAsia="zh-CN"/>
        </w:rPr>
        <w:t>第十</w:t>
      </w:r>
      <w:r>
        <w:rPr>
          <w:rFonts w:hint="eastAsia" w:ascii="黑体" w:hAnsi="黑体" w:eastAsia="黑体" w:cs="黑体"/>
          <w:b w:val="0"/>
          <w:bCs w:val="0"/>
          <w:kern w:val="2"/>
          <w:sz w:val="32"/>
          <w:szCs w:val="32"/>
          <w:lang w:val="en-US" w:eastAsia="zh-CN"/>
        </w:rPr>
        <w:t>七</w:t>
      </w:r>
      <w:r>
        <w:rPr>
          <w:rFonts w:hint="eastAsia" w:ascii="黑体" w:hAnsi="黑体" w:eastAsia="黑体" w:cs="黑体"/>
          <w:b w:val="0"/>
          <w:bCs w:val="0"/>
          <w:kern w:val="2"/>
          <w:sz w:val="32"/>
          <w:szCs w:val="32"/>
          <w:lang w:eastAsia="zh-CN"/>
        </w:rPr>
        <w:t>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负有监督管理职责的有关部门及其工作人员在夹沟香稻米保护和发展工作中滥用职权、玩忽职守、徇私舞弊的，对直接负责的主管人员和其他直接责任人员，依法给予处分。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rPr>
      </w:pPr>
      <w:r>
        <w:rPr>
          <w:rFonts w:hint="eastAsia" w:ascii="黑体" w:hAnsi="黑体" w:eastAsia="黑体" w:cs="黑体"/>
          <w:b w:val="0"/>
          <w:bCs w:val="0"/>
          <w:kern w:val="2"/>
          <w:sz w:val="32"/>
          <w:szCs w:val="32"/>
          <w:lang w:eastAsia="zh-CN"/>
        </w:rPr>
        <w:t>第十</w:t>
      </w:r>
      <w:r>
        <w:rPr>
          <w:rFonts w:hint="eastAsia" w:ascii="黑体" w:hAnsi="黑体" w:eastAsia="黑体" w:cs="黑体"/>
          <w:b w:val="0"/>
          <w:bCs w:val="0"/>
          <w:kern w:val="2"/>
          <w:sz w:val="32"/>
          <w:szCs w:val="32"/>
          <w:lang w:val="en-US" w:eastAsia="zh-CN"/>
        </w:rPr>
        <w:t>八</w:t>
      </w:r>
      <w:r>
        <w:rPr>
          <w:rFonts w:hint="eastAsia" w:ascii="黑体" w:hAnsi="黑体" w:eastAsia="黑体" w:cs="黑体"/>
          <w:b w:val="0"/>
          <w:bCs w:val="0"/>
          <w:kern w:val="2"/>
          <w:sz w:val="32"/>
          <w:szCs w:val="32"/>
          <w:lang w:eastAsia="zh-CN"/>
        </w:rPr>
        <w:t>条</w:t>
      </w:r>
      <w:r>
        <w:rPr>
          <w:rFonts w:hint="eastAsia" w:ascii="仿宋_GB2312" w:hAnsi="仿宋_GB2312" w:eastAsia="仿宋_GB2312" w:cs="仿宋_GB2312"/>
          <w:b w:val="0"/>
          <w:bCs w:val="0"/>
          <w:kern w:val="2"/>
          <w:sz w:val="32"/>
          <w:szCs w:val="32"/>
          <w:lang w:val="en-US" w:eastAsia="zh-CN"/>
        </w:rPr>
        <w:t>　</w:t>
      </w:r>
      <w:r>
        <w:rPr>
          <w:rFonts w:hint="eastAsia" w:ascii="仿宋_GB2312" w:hAnsi="仿宋_GB2312" w:eastAsia="仿宋_GB2312" w:cs="仿宋_GB2312"/>
          <w:kern w:val="2"/>
          <w:sz w:val="32"/>
          <w:szCs w:val="32"/>
          <w:lang w:val="en-US" w:eastAsia="zh-CN"/>
        </w:rPr>
        <w:t>本条例自</w:t>
      </w:r>
      <w:r>
        <w:rPr>
          <w:rFonts w:hint="eastAsia" w:ascii="Times New Roman" w:hAnsi="Times New Roman" w:eastAsia="仿宋_GB2312" w:cs="Times New Roman"/>
          <w:color w:val="000000"/>
          <w:kern w:val="2"/>
          <w:sz w:val="32"/>
          <w:szCs w:val="32"/>
          <w:lang w:val="en-US" w:eastAsia="zh-CN"/>
        </w:rPr>
        <w:t>2023</w:t>
      </w:r>
      <w:r>
        <w:rPr>
          <w:rFonts w:hint="eastAsia" w:ascii="仿宋_GB2312" w:hAnsi="仿宋_GB2312" w:eastAsia="仿宋_GB2312" w:cs="仿宋_GB2312"/>
          <w:kern w:val="2"/>
          <w:sz w:val="32"/>
          <w:szCs w:val="32"/>
          <w:lang w:val="en-US" w:eastAsia="zh-CN"/>
        </w:rPr>
        <w:t>年</w:t>
      </w:r>
      <w:r>
        <w:rPr>
          <w:rFonts w:hint="eastAsia" w:ascii="Times New Roman" w:hAnsi="Times New Roman" w:eastAsia="仿宋_GB2312" w:cs="Times New Roman"/>
          <w:color w:val="000000"/>
          <w:kern w:val="2"/>
          <w:sz w:val="32"/>
          <w:szCs w:val="32"/>
          <w:lang w:val="en-US" w:eastAsia="zh-CN"/>
        </w:rPr>
        <w:t>8</w:t>
      </w:r>
      <w:r>
        <w:rPr>
          <w:rFonts w:hint="eastAsia" w:ascii="仿宋_GB2312" w:hAnsi="仿宋_GB2312" w:eastAsia="仿宋_GB2312" w:cs="仿宋_GB2312"/>
          <w:kern w:val="2"/>
          <w:sz w:val="32"/>
          <w:szCs w:val="32"/>
          <w:lang w:val="en-US" w:eastAsia="zh-CN"/>
        </w:rPr>
        <w:t>月</w:t>
      </w:r>
      <w:r>
        <w:rPr>
          <w:rFonts w:hint="eastAsia" w:ascii="Times New Roman" w:hAnsi="Times New Roman" w:eastAsia="仿宋_GB2312" w:cs="Times New Roman"/>
          <w:color w:val="000000"/>
          <w:kern w:val="2"/>
          <w:sz w:val="32"/>
          <w:szCs w:val="32"/>
          <w:lang w:val="en-US" w:eastAsia="zh-CN"/>
        </w:rPr>
        <w:t>1</w:t>
      </w:r>
      <w:r>
        <w:rPr>
          <w:rFonts w:hint="eastAsia" w:ascii="仿宋_GB2312" w:hAnsi="仿宋_GB2312" w:eastAsia="仿宋_GB2312" w:cs="仿宋_GB2312"/>
          <w:kern w:val="2"/>
          <w:sz w:val="32"/>
          <w:szCs w:val="32"/>
          <w:lang w:val="en-US" w:eastAsia="zh-CN"/>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文鼎CS仿宋体">
    <w:altName w:val="Arial Unicode MS"/>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2000000000000000000"/>
    <w:charset w:val="86"/>
    <w:family w:val="auto"/>
    <w:pitch w:val="default"/>
    <w:sig w:usb0="00000000" w:usb1="00000000" w:usb2="00082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31638"/>
    <w:rsid w:val="02283016"/>
    <w:rsid w:val="08A8306C"/>
    <w:rsid w:val="09A34AE0"/>
    <w:rsid w:val="0A0C3321"/>
    <w:rsid w:val="0AB94B2B"/>
    <w:rsid w:val="0D6D59C4"/>
    <w:rsid w:val="0D9804AC"/>
    <w:rsid w:val="0EE24651"/>
    <w:rsid w:val="13337596"/>
    <w:rsid w:val="1971007E"/>
    <w:rsid w:val="1A8B0292"/>
    <w:rsid w:val="1EAA58D6"/>
    <w:rsid w:val="23691BCC"/>
    <w:rsid w:val="252135B1"/>
    <w:rsid w:val="2DD75A85"/>
    <w:rsid w:val="2E8A4B45"/>
    <w:rsid w:val="2E8C1CE8"/>
    <w:rsid w:val="3172765E"/>
    <w:rsid w:val="346D235F"/>
    <w:rsid w:val="350B11A5"/>
    <w:rsid w:val="38512365"/>
    <w:rsid w:val="39683767"/>
    <w:rsid w:val="39810D86"/>
    <w:rsid w:val="3A1C4F00"/>
    <w:rsid w:val="3B0C034B"/>
    <w:rsid w:val="3DE63740"/>
    <w:rsid w:val="411D3E3F"/>
    <w:rsid w:val="418C651A"/>
    <w:rsid w:val="444D40D2"/>
    <w:rsid w:val="45933E22"/>
    <w:rsid w:val="459613CA"/>
    <w:rsid w:val="45CA5863"/>
    <w:rsid w:val="463A4302"/>
    <w:rsid w:val="46F47B69"/>
    <w:rsid w:val="481351D2"/>
    <w:rsid w:val="4F314DBC"/>
    <w:rsid w:val="53543565"/>
    <w:rsid w:val="558A062C"/>
    <w:rsid w:val="5BC029D3"/>
    <w:rsid w:val="5C3D0AD3"/>
    <w:rsid w:val="5E9616EF"/>
    <w:rsid w:val="5F092B01"/>
    <w:rsid w:val="5F9916B2"/>
    <w:rsid w:val="5FEC6B22"/>
    <w:rsid w:val="60443A75"/>
    <w:rsid w:val="622F12CF"/>
    <w:rsid w:val="6A486BD3"/>
    <w:rsid w:val="6DFD1A54"/>
    <w:rsid w:val="77571EA6"/>
    <w:rsid w:val="775E649E"/>
    <w:rsid w:val="799712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paragraph" w:styleId="3">
    <w:name w:val="Normal Indent"/>
    <w:basedOn w:val="1"/>
    <w:next w:val="1"/>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4">
    <w:name w:val="Body Text"/>
    <w:basedOn w:val="1"/>
    <w:next w:val="5"/>
    <w:qFormat/>
    <w:uiPriority w:val="0"/>
    <w:rPr>
      <w:sz w:val="28"/>
      <w:szCs w:val="20"/>
    </w:rPr>
  </w:style>
  <w:style w:type="paragraph" w:styleId="5">
    <w:name w:val="Date"/>
    <w:basedOn w:val="1"/>
    <w:next w:val="1"/>
    <w:qFormat/>
    <w:uiPriority w:val="0"/>
    <w:pPr>
      <w:ind w:left="100" w:leftChars="2500"/>
    </w:pPr>
  </w:style>
  <w:style w:type="paragraph" w:styleId="6">
    <w:name w:val="Body Text Indent 2"/>
    <w:basedOn w:val="1"/>
    <w:qFormat/>
    <w:uiPriority w:val="0"/>
    <w:pPr>
      <w:spacing w:after="120" w:afterLines="0" w:line="480" w:lineRule="auto"/>
      <w:ind w:left="420" w:leftChars="200"/>
    </w:pPr>
  </w:style>
  <w:style w:type="paragraph" w:styleId="7">
    <w:name w:val="footer"/>
    <w:basedOn w:val="1"/>
    <w:next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22"/>
    <w:rPr>
      <w:bCs/>
    </w:rPr>
  </w:style>
  <w:style w:type="character" w:styleId="12">
    <w:name w:val="page number"/>
    <w:qFormat/>
    <w:uiPriority w:val="0"/>
  </w:style>
  <w:style w:type="character" w:styleId="13">
    <w:name w:val="FollowedHyperlink"/>
    <w:unhideWhenUsed/>
    <w:qFormat/>
    <w:uiPriority w:val="99"/>
    <w:rPr>
      <w:color w:val="954F72"/>
      <w:u w:val="single"/>
    </w:rPr>
  </w:style>
  <w:style w:type="character" w:styleId="14">
    <w:name w:val="Hyperlink"/>
    <w:qFormat/>
    <w:uiPriority w:val="99"/>
    <w:rPr>
      <w:rFonts w:hint="default" w:ascii="ˎ̥" w:hAnsi="ˎ̥"/>
      <w:color w:val="0404B3"/>
      <w:sz w:val="18"/>
      <w:szCs w:val="18"/>
      <w:u w:val="none"/>
    </w:rPr>
  </w:style>
  <w:style w:type="character" w:customStyle="1" w:styleId="15">
    <w:name w:val="页脚 字符"/>
    <w:link w:val="7"/>
    <w:qFormat/>
    <w:uiPriority w:val="99"/>
    <w:rPr>
      <w:sz w:val="18"/>
      <w:szCs w:val="18"/>
    </w:rPr>
  </w:style>
  <w:style w:type="character" w:customStyle="1" w:styleId="16">
    <w:name w:val="页眉 字符"/>
    <w:link w:val="8"/>
    <w:qFormat/>
    <w:uiPriority w:val="99"/>
    <w:rPr>
      <w:sz w:val="18"/>
      <w:szCs w:val="18"/>
    </w:rPr>
  </w:style>
  <w:style w:type="paragraph" w:customStyle="1" w:styleId="17">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18">
    <w:name w:val="页脚1"/>
    <w:basedOn w:val="1"/>
    <w:qFormat/>
    <w:uiPriority w:val="99"/>
    <w:pPr>
      <w:tabs>
        <w:tab w:val="center" w:pos="4153"/>
        <w:tab w:val="right" w:pos="8306"/>
      </w:tabs>
      <w:snapToGrid w:val="0"/>
      <w:jc w:val="left"/>
    </w:pPr>
    <w:rPr>
      <w:sz w:val="18"/>
      <w:szCs w:val="18"/>
    </w:rPr>
  </w:style>
  <w:style w:type="paragraph" w:customStyle="1" w:styleId="19">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20">
    <w:name w:val="Char"/>
    <w:basedOn w:val="1"/>
    <w:qFormat/>
    <w:uiPriority w:val="0"/>
    <w:pPr>
      <w:tabs>
        <w:tab w:val="left" w:pos="360"/>
      </w:tabs>
      <w:ind w:left="360" w:hanging="360" w:hangingChars="200"/>
    </w:pPr>
    <w:rPr>
      <w:rFonts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1874</Words>
  <Characters>1885</Characters>
  <Lines>1</Lines>
  <Paragraphs>1</Paragraphs>
  <TotalTime>2</TotalTime>
  <ScaleCrop>false</ScaleCrop>
  <LinksUpToDate>false</LinksUpToDate>
  <CharactersWithSpaces>1930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2023-08-31T10:37:12Z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2052-11.1.0.14309</vt:lpwstr>
  </property>
</Properties>
</file>