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jc w:val="left"/>
        <w:textAlignment w:val="bottom"/>
        <w:rPr>
          <w:rFonts w:hint="eastAsia" w:ascii="宋体" w:hAnsi="宋体" w:eastAsia="宋体" w:cs="宋体"/>
          <w:sz w:val="32"/>
          <w:szCs w:val="32"/>
        </w:rPr>
      </w:pP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jc w:val="left"/>
        <w:textAlignment w:val="bottom"/>
        <w:rPr>
          <w:rFonts w:hint="eastAsia" w:ascii="宋体" w:hAnsi="宋体" w:eastAsia="宋体" w:cs="宋体"/>
          <w:sz w:val="32"/>
          <w:szCs w:val="32"/>
        </w:rPr>
      </w:pP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jc w:val="center"/>
        <w:textAlignment w:val="bottom"/>
        <w:rPr>
          <w:rFonts w:hint="eastAsia" w:ascii="宋体" w:hAnsi="宋体" w:eastAsia="宋体" w:cs="宋体"/>
          <w:sz w:val="44"/>
          <w:szCs w:val="44"/>
        </w:rPr>
      </w:pPr>
      <w:r>
        <w:rPr>
          <w:rFonts w:hint="eastAsia" w:ascii="宋体" w:hAnsi="宋体" w:eastAsia="宋体" w:cs="宋体"/>
          <w:sz w:val="44"/>
          <w:szCs w:val="44"/>
        </w:rPr>
        <w:t>绵阳市城区停车管理条例</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rPr>
          <w:rFonts w:hint="eastAsia" w:ascii="宋体" w:hAnsi="宋体" w:eastAsia="宋体" w:cs="宋体"/>
          <w:sz w:val="32"/>
          <w:szCs w:val="32"/>
        </w:rPr>
      </w:pPr>
    </w:p>
    <w:p>
      <w:pPr>
        <w:keepNext w:val="0"/>
        <w:keepLines w:val="0"/>
        <w:pageBreakBefore w:val="0"/>
        <w:widowControl w:val="0"/>
        <w:kinsoku/>
        <w:wordWrap/>
        <w:overflowPunct w:val="0"/>
        <w:topLinePunct/>
        <w:autoSpaceDE/>
        <w:autoSpaceDN/>
        <w:bidi w:val="0"/>
        <w:adjustRightInd/>
        <w:snapToGrid/>
        <w:spacing w:line="240" w:lineRule="auto"/>
        <w:ind w:left="632" w:leftChars="200" w:right="632" w:rightChars="200"/>
        <w:textAlignment w:val="auto"/>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（2023年4月20日绵阳市第八届人民代表大会常务委员会第十三次会议通过</w:t>
      </w:r>
      <w:r>
        <w:rPr>
          <w:rFonts w:hint="default" w:ascii="Times New Roman" w:hAnsi="Times New Roman" w:eastAsia="楷体_GB2312" w:cs="Times New Roman"/>
          <w:bCs/>
          <w:kern w:val="0"/>
          <w:sz w:val="32"/>
          <w:szCs w:val="32"/>
          <w:lang w:eastAsia="zh-CN"/>
        </w:rPr>
        <w:t>　</w:t>
      </w:r>
      <w:r>
        <w:rPr>
          <w:rFonts w:hint="default" w:ascii="Times New Roman" w:hAnsi="Times New Roman" w:eastAsia="楷体_GB2312" w:cs="Times New Roman"/>
          <w:bCs/>
          <w:kern w:val="0"/>
          <w:sz w:val="32"/>
          <w:szCs w:val="32"/>
        </w:rPr>
        <w:t>2023年5月25日四川省第十四届人民代表大会常务委员会第三次会议批准）</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rPr>
          <w:sz w:val="32"/>
          <w:szCs w:val="32"/>
        </w:rPr>
      </w:pP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jc w:val="center"/>
        <w:rPr>
          <w:rFonts w:ascii="楷体_GB2312" w:hAnsi="Times New Roman" w:eastAsia="楷体_GB2312" w:cs="Times New Roman"/>
          <w:color w:val="auto"/>
          <w:kern w:val="2"/>
          <w:sz w:val="32"/>
          <w:szCs w:val="32"/>
        </w:rPr>
      </w:pPr>
      <w:r>
        <w:rPr>
          <w:rFonts w:hint="eastAsia" w:ascii="楷体_GB2312" w:hAnsi="Times New Roman" w:eastAsia="楷体_GB2312" w:cs="Times New Roman"/>
          <w:color w:val="auto"/>
          <w:kern w:val="2"/>
          <w:sz w:val="32"/>
          <w:szCs w:val="32"/>
        </w:rPr>
        <w:t>目</w:t>
      </w:r>
      <w:r>
        <w:rPr>
          <w:rFonts w:hint="eastAsia" w:ascii="楷体_GB2312" w:hAnsi="Times New Roman" w:eastAsia="楷体_GB2312" w:cs="Times New Roman"/>
          <w:color w:val="auto"/>
          <w:kern w:val="2"/>
          <w:sz w:val="32"/>
          <w:szCs w:val="32"/>
          <w:lang w:eastAsia="zh-CN"/>
        </w:rPr>
        <w:t>　　</w:t>
      </w:r>
      <w:r>
        <w:rPr>
          <w:rFonts w:hint="eastAsia" w:ascii="楷体_GB2312" w:hAnsi="Times New Roman" w:eastAsia="楷体_GB2312" w:cs="Times New Roman"/>
          <w:color w:val="auto"/>
          <w:kern w:val="2"/>
          <w:sz w:val="32"/>
          <w:szCs w:val="32"/>
        </w:rPr>
        <w:t>录</w:t>
      </w:r>
    </w:p>
    <w:p>
      <w:pPr>
        <w:pStyle w:val="19"/>
        <w:keepNext w:val="0"/>
        <w:keepLines w:val="0"/>
        <w:pageBreakBefore w:val="0"/>
        <w:widowControl w:val="0"/>
        <w:kinsoku/>
        <w:wordWrap/>
        <w:overflowPunct w:val="0"/>
        <w:topLinePunct/>
        <w:autoSpaceDE/>
        <w:autoSpaceDN/>
        <w:bidi w:val="0"/>
        <w:adjustRightInd/>
        <w:snapToGrid/>
        <w:spacing w:line="240" w:lineRule="auto"/>
        <w:ind w:left="632" w:leftChars="200" w:right="632" w:rightChars="200" w:firstLine="0" w:firstLineChars="0"/>
        <w:textAlignment w:val="auto"/>
        <w:rPr>
          <w:rFonts w:ascii="楷体_GB2312" w:hAnsi="Times New Roman" w:eastAsia="楷体_GB2312" w:cs="Times New Roman"/>
          <w:color w:val="auto"/>
          <w:kern w:val="2"/>
          <w:sz w:val="32"/>
          <w:szCs w:val="32"/>
        </w:rPr>
      </w:pPr>
      <w:r>
        <w:rPr>
          <w:rFonts w:hint="eastAsia" w:ascii="楷体_GB2312" w:hAnsi="Times New Roman" w:eastAsia="楷体_GB2312" w:cs="Times New Roman"/>
          <w:color w:val="auto"/>
          <w:kern w:val="2"/>
          <w:sz w:val="32"/>
          <w:szCs w:val="32"/>
        </w:rPr>
        <w:t>第一章</w:t>
      </w:r>
      <w:r>
        <w:rPr>
          <w:rFonts w:hint="eastAsia" w:ascii="楷体_GB2312" w:hAnsi="Times New Roman" w:eastAsia="楷体_GB2312" w:cs="Times New Roman"/>
          <w:color w:val="auto"/>
          <w:kern w:val="2"/>
          <w:sz w:val="32"/>
          <w:szCs w:val="32"/>
          <w:lang w:eastAsia="zh-CN"/>
        </w:rPr>
        <w:t>　</w:t>
      </w:r>
      <w:r>
        <w:rPr>
          <w:rFonts w:hint="eastAsia" w:ascii="楷体_GB2312" w:hAnsi="Times New Roman" w:eastAsia="楷体_GB2312" w:cs="Times New Roman"/>
          <w:color w:val="auto"/>
          <w:kern w:val="2"/>
          <w:sz w:val="32"/>
          <w:szCs w:val="32"/>
        </w:rPr>
        <w:t>总</w:t>
      </w:r>
      <w:r>
        <w:rPr>
          <w:rFonts w:hint="eastAsia" w:ascii="楷体_GB2312" w:hAnsi="Times New Roman" w:eastAsia="楷体_GB2312" w:cs="Times New Roman"/>
          <w:color w:val="auto"/>
          <w:kern w:val="2"/>
          <w:sz w:val="32"/>
          <w:szCs w:val="32"/>
          <w:lang w:eastAsia="zh-CN"/>
        </w:rPr>
        <w:t>　　</w:t>
      </w:r>
      <w:r>
        <w:rPr>
          <w:rFonts w:hint="eastAsia" w:ascii="楷体_GB2312" w:hAnsi="Times New Roman" w:eastAsia="楷体_GB2312" w:cs="Times New Roman"/>
          <w:color w:val="auto"/>
          <w:kern w:val="2"/>
          <w:sz w:val="32"/>
          <w:szCs w:val="32"/>
        </w:rPr>
        <w:t>则</w:t>
      </w:r>
    </w:p>
    <w:p>
      <w:pPr>
        <w:pStyle w:val="19"/>
        <w:keepNext w:val="0"/>
        <w:keepLines w:val="0"/>
        <w:pageBreakBefore w:val="0"/>
        <w:widowControl w:val="0"/>
        <w:kinsoku/>
        <w:wordWrap/>
        <w:overflowPunct w:val="0"/>
        <w:topLinePunct/>
        <w:autoSpaceDE/>
        <w:autoSpaceDN/>
        <w:bidi w:val="0"/>
        <w:adjustRightInd/>
        <w:snapToGrid/>
        <w:spacing w:line="240" w:lineRule="auto"/>
        <w:ind w:left="632" w:leftChars="200" w:right="632" w:rightChars="200" w:firstLine="0" w:firstLineChars="0"/>
        <w:textAlignment w:val="auto"/>
        <w:rPr>
          <w:rFonts w:ascii="楷体_GB2312" w:hAnsi="Times New Roman" w:eastAsia="楷体_GB2312" w:cs="Times New Roman"/>
          <w:color w:val="auto"/>
          <w:kern w:val="2"/>
          <w:sz w:val="32"/>
          <w:szCs w:val="32"/>
        </w:rPr>
      </w:pPr>
      <w:r>
        <w:rPr>
          <w:rFonts w:hint="eastAsia" w:ascii="楷体_GB2312" w:hAnsi="Times New Roman" w:eastAsia="楷体_GB2312" w:cs="Times New Roman"/>
          <w:color w:val="auto"/>
          <w:kern w:val="2"/>
          <w:sz w:val="32"/>
          <w:szCs w:val="32"/>
        </w:rPr>
        <w:t>第二章</w:t>
      </w:r>
      <w:r>
        <w:rPr>
          <w:rFonts w:hint="eastAsia" w:ascii="楷体_GB2312" w:hAnsi="Times New Roman" w:eastAsia="楷体_GB2312" w:cs="Times New Roman"/>
          <w:color w:val="auto"/>
          <w:kern w:val="2"/>
          <w:sz w:val="32"/>
          <w:szCs w:val="32"/>
          <w:lang w:eastAsia="zh-CN"/>
        </w:rPr>
        <w:t>　</w:t>
      </w:r>
      <w:r>
        <w:rPr>
          <w:rFonts w:hint="eastAsia" w:ascii="楷体_GB2312" w:hAnsi="Times New Roman" w:eastAsia="楷体_GB2312" w:cs="Times New Roman"/>
          <w:color w:val="auto"/>
          <w:kern w:val="2"/>
          <w:sz w:val="32"/>
          <w:szCs w:val="32"/>
        </w:rPr>
        <w:t>停车设施规划与建设</w:t>
      </w:r>
    </w:p>
    <w:p>
      <w:pPr>
        <w:pStyle w:val="19"/>
        <w:keepNext w:val="0"/>
        <w:keepLines w:val="0"/>
        <w:pageBreakBefore w:val="0"/>
        <w:widowControl w:val="0"/>
        <w:kinsoku/>
        <w:wordWrap/>
        <w:overflowPunct w:val="0"/>
        <w:topLinePunct/>
        <w:autoSpaceDE/>
        <w:autoSpaceDN/>
        <w:bidi w:val="0"/>
        <w:adjustRightInd/>
        <w:snapToGrid/>
        <w:spacing w:line="240" w:lineRule="auto"/>
        <w:ind w:left="632" w:leftChars="200" w:right="632" w:rightChars="200" w:firstLine="0" w:firstLineChars="0"/>
        <w:textAlignment w:val="auto"/>
        <w:rPr>
          <w:rFonts w:ascii="楷体_GB2312" w:hAnsi="Times New Roman" w:eastAsia="楷体_GB2312" w:cs="Times New Roman"/>
          <w:color w:val="auto"/>
          <w:kern w:val="2"/>
          <w:sz w:val="32"/>
          <w:szCs w:val="32"/>
        </w:rPr>
      </w:pPr>
      <w:r>
        <w:rPr>
          <w:rFonts w:hint="eastAsia" w:ascii="楷体_GB2312" w:hAnsi="Times New Roman" w:eastAsia="楷体_GB2312" w:cs="Times New Roman"/>
          <w:color w:val="auto"/>
          <w:kern w:val="2"/>
          <w:sz w:val="32"/>
          <w:szCs w:val="32"/>
        </w:rPr>
        <w:t>第三章</w:t>
      </w:r>
      <w:r>
        <w:rPr>
          <w:rFonts w:hint="eastAsia" w:ascii="楷体_GB2312" w:hAnsi="Times New Roman" w:eastAsia="楷体_GB2312" w:cs="Times New Roman"/>
          <w:color w:val="auto"/>
          <w:kern w:val="2"/>
          <w:sz w:val="32"/>
          <w:szCs w:val="32"/>
          <w:lang w:eastAsia="zh-CN"/>
        </w:rPr>
        <w:t>　</w:t>
      </w:r>
      <w:r>
        <w:rPr>
          <w:rFonts w:hint="eastAsia" w:ascii="楷体_GB2312" w:hAnsi="Times New Roman" w:eastAsia="楷体_GB2312" w:cs="Times New Roman"/>
          <w:color w:val="auto"/>
          <w:kern w:val="2"/>
          <w:sz w:val="32"/>
          <w:szCs w:val="32"/>
        </w:rPr>
        <w:t>停车设施管理与停车行为规范</w:t>
      </w:r>
    </w:p>
    <w:p>
      <w:pPr>
        <w:pStyle w:val="19"/>
        <w:keepNext w:val="0"/>
        <w:keepLines w:val="0"/>
        <w:pageBreakBefore w:val="0"/>
        <w:widowControl w:val="0"/>
        <w:kinsoku/>
        <w:wordWrap/>
        <w:overflowPunct w:val="0"/>
        <w:topLinePunct/>
        <w:autoSpaceDE/>
        <w:autoSpaceDN/>
        <w:bidi w:val="0"/>
        <w:adjustRightInd/>
        <w:snapToGrid/>
        <w:spacing w:line="240" w:lineRule="auto"/>
        <w:ind w:left="632" w:leftChars="200" w:right="632" w:rightChars="200" w:firstLine="0" w:firstLineChars="0"/>
        <w:textAlignment w:val="auto"/>
        <w:rPr>
          <w:rFonts w:ascii="楷体_GB2312" w:hAnsi="Times New Roman" w:eastAsia="楷体_GB2312" w:cs="Times New Roman"/>
          <w:color w:val="auto"/>
          <w:kern w:val="2"/>
          <w:sz w:val="32"/>
          <w:szCs w:val="32"/>
        </w:rPr>
      </w:pPr>
      <w:r>
        <w:rPr>
          <w:rFonts w:hint="eastAsia" w:ascii="楷体_GB2312" w:hAnsi="Times New Roman" w:eastAsia="楷体_GB2312" w:cs="Times New Roman"/>
          <w:color w:val="auto"/>
          <w:kern w:val="2"/>
          <w:sz w:val="32"/>
          <w:szCs w:val="32"/>
        </w:rPr>
        <w:t>第四章</w:t>
      </w:r>
      <w:r>
        <w:rPr>
          <w:rFonts w:hint="eastAsia" w:ascii="楷体_GB2312" w:hAnsi="Times New Roman" w:eastAsia="楷体_GB2312" w:cs="Times New Roman"/>
          <w:color w:val="auto"/>
          <w:kern w:val="2"/>
          <w:sz w:val="32"/>
          <w:szCs w:val="32"/>
          <w:lang w:eastAsia="zh-CN"/>
        </w:rPr>
        <w:t>　</w:t>
      </w:r>
      <w:r>
        <w:rPr>
          <w:rFonts w:hint="eastAsia" w:ascii="楷体_GB2312" w:hAnsi="Times New Roman" w:eastAsia="楷体_GB2312" w:cs="Times New Roman"/>
          <w:color w:val="auto"/>
          <w:kern w:val="2"/>
          <w:sz w:val="32"/>
          <w:szCs w:val="32"/>
        </w:rPr>
        <w:t>法律责任</w:t>
      </w:r>
    </w:p>
    <w:p>
      <w:pPr>
        <w:pStyle w:val="19"/>
        <w:keepNext w:val="0"/>
        <w:keepLines w:val="0"/>
        <w:pageBreakBefore w:val="0"/>
        <w:widowControl w:val="0"/>
        <w:kinsoku/>
        <w:wordWrap/>
        <w:overflowPunct w:val="0"/>
        <w:topLinePunct/>
        <w:autoSpaceDE/>
        <w:autoSpaceDN/>
        <w:bidi w:val="0"/>
        <w:adjustRightInd/>
        <w:snapToGrid/>
        <w:spacing w:line="240" w:lineRule="auto"/>
        <w:ind w:left="632" w:leftChars="200" w:right="632" w:rightChars="200" w:firstLine="0" w:firstLineChars="0"/>
        <w:textAlignment w:val="auto"/>
        <w:rPr>
          <w:rFonts w:ascii="楷体_GB2312" w:hAnsi="Times New Roman" w:eastAsia="楷体_GB2312" w:cs="Times New Roman"/>
          <w:color w:val="auto"/>
          <w:kern w:val="2"/>
          <w:sz w:val="32"/>
          <w:szCs w:val="32"/>
        </w:rPr>
      </w:pPr>
      <w:r>
        <w:rPr>
          <w:rFonts w:hint="eastAsia" w:ascii="楷体_GB2312" w:hAnsi="Times New Roman" w:eastAsia="楷体_GB2312" w:cs="Times New Roman"/>
          <w:color w:val="auto"/>
          <w:kern w:val="2"/>
          <w:sz w:val="32"/>
          <w:szCs w:val="32"/>
        </w:rPr>
        <w:t>第五章</w:t>
      </w:r>
      <w:r>
        <w:rPr>
          <w:rFonts w:hint="eastAsia" w:ascii="楷体_GB2312" w:hAnsi="Times New Roman" w:eastAsia="楷体_GB2312" w:cs="Times New Roman"/>
          <w:color w:val="auto"/>
          <w:kern w:val="2"/>
          <w:sz w:val="32"/>
          <w:szCs w:val="32"/>
          <w:lang w:eastAsia="zh-CN"/>
        </w:rPr>
        <w:t>　</w:t>
      </w:r>
      <w:r>
        <w:rPr>
          <w:rFonts w:hint="eastAsia" w:ascii="楷体_GB2312" w:hAnsi="Times New Roman" w:eastAsia="楷体_GB2312" w:cs="Times New Roman"/>
          <w:color w:val="auto"/>
          <w:kern w:val="2"/>
          <w:sz w:val="32"/>
          <w:szCs w:val="32"/>
        </w:rPr>
        <w:t>附</w:t>
      </w:r>
      <w:r>
        <w:rPr>
          <w:rFonts w:hint="eastAsia" w:ascii="楷体_GB2312" w:hAnsi="Times New Roman" w:eastAsia="楷体_GB2312" w:cs="Times New Roman"/>
          <w:color w:val="auto"/>
          <w:kern w:val="2"/>
          <w:sz w:val="32"/>
          <w:szCs w:val="32"/>
          <w:lang w:eastAsia="zh-CN"/>
        </w:rPr>
        <w:t>　　</w:t>
      </w:r>
      <w:r>
        <w:rPr>
          <w:rFonts w:hint="eastAsia" w:ascii="楷体_GB2312" w:hAnsi="Times New Roman" w:eastAsia="楷体_GB2312" w:cs="Times New Roman"/>
          <w:color w:val="auto"/>
          <w:kern w:val="2"/>
          <w:sz w:val="32"/>
          <w:szCs w:val="32"/>
        </w:rPr>
        <w:t>则</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rPr>
          <w:sz w:val="32"/>
          <w:szCs w:val="32"/>
        </w:rPr>
      </w:pP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jc w:val="center"/>
        <w:rPr>
          <w:rFonts w:ascii="黑体" w:hAnsi="黑体" w:eastAsia="黑体"/>
          <w:bCs/>
          <w:sz w:val="32"/>
          <w:szCs w:val="32"/>
        </w:rPr>
      </w:pPr>
      <w:r>
        <w:rPr>
          <w:rFonts w:hint="eastAsia" w:ascii="黑体" w:hAnsi="黑体" w:eastAsia="黑体"/>
          <w:bCs/>
          <w:sz w:val="32"/>
          <w:szCs w:val="32"/>
        </w:rPr>
        <w:t>第一章</w:t>
      </w:r>
      <w:r>
        <w:rPr>
          <w:rFonts w:hint="eastAsia" w:ascii="黑体" w:hAnsi="黑体" w:eastAsia="黑体"/>
          <w:bCs/>
          <w:sz w:val="32"/>
          <w:szCs w:val="32"/>
          <w:lang w:eastAsia="zh-CN"/>
        </w:rPr>
        <w:t>　</w:t>
      </w:r>
      <w:r>
        <w:rPr>
          <w:rFonts w:hint="eastAsia" w:ascii="黑体" w:hAnsi="黑体" w:eastAsia="黑体"/>
          <w:bCs/>
          <w:sz w:val="32"/>
          <w:szCs w:val="32"/>
        </w:rPr>
        <w:t>总</w:t>
      </w:r>
      <w:r>
        <w:rPr>
          <w:rFonts w:hint="eastAsia" w:ascii="黑体" w:hAnsi="黑体" w:eastAsia="黑体"/>
          <w:bCs/>
          <w:sz w:val="32"/>
          <w:szCs w:val="32"/>
          <w:lang w:eastAsia="zh-CN"/>
        </w:rPr>
        <w:t>　　</w:t>
      </w:r>
      <w:r>
        <w:rPr>
          <w:rFonts w:hint="eastAsia" w:ascii="黑体" w:hAnsi="黑体" w:eastAsia="黑体"/>
          <w:bCs/>
          <w:sz w:val="32"/>
          <w:szCs w:val="32"/>
        </w:rPr>
        <w:t>则</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rPr>
          <w:rFonts w:hint="eastAsia" w:ascii="宋体" w:hAnsi="宋体" w:eastAsia="宋体" w:cs="宋体"/>
          <w:sz w:val="32"/>
          <w:szCs w:val="32"/>
        </w:rPr>
      </w:pP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eastAsia="黑体"/>
          <w:bCs/>
          <w:sz w:val="32"/>
          <w:szCs w:val="32"/>
        </w:rPr>
        <w:t>第一条</w:t>
      </w:r>
      <w:r>
        <w:rPr>
          <w:rFonts w:hint="eastAsia" w:ascii="仿宋_GB2312" w:hAnsi="仿宋_GB2312" w:eastAsia="仿宋_GB2312" w:cs="仿宋_GB2312"/>
          <w:bCs/>
          <w:sz w:val="32"/>
          <w:szCs w:val="32"/>
          <w:lang w:eastAsia="zh-CN"/>
        </w:rPr>
        <w:t>　</w:t>
      </w:r>
      <w:r>
        <w:rPr>
          <w:rFonts w:hint="eastAsia" w:ascii="仿宋_GB2312" w:eastAsia="仿宋_GB2312"/>
          <w:bCs/>
          <w:sz w:val="32"/>
          <w:szCs w:val="32"/>
        </w:rPr>
        <w:t>为了加强停车设施的规划、建设和管理，规范停车行为，改善交通环境，根据有关法律、法规，结合绵阳市实际，制定本条例。</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第二条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绵阳市行政区域内城市建成区停车设施的规划、建设、管理和停车行为的规范等，适用本条例。</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公共交通、道路客运、道路货运、危险物品运输、工程运输等车辆的停车设施规划、建设和管理，按照国家、省、市有关规定执行。</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第三条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本条例所称停车设施包括独立停车场、配建停车场、临时停车场（泊位）、道路临时停车泊位和非机动车停放点。</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独立停车场，是指根据城市规划独立建设供机动车停放的场所。</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配建停车场，是指依据建筑物配建标准建设的供机动车和非机动车停放的场所。</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临时停车场（泊位），是指利用城市道路规划红线外与建筑物外缘之间的开放式场地，以及待建土地、空闲场地等设置的供机动车临时停放的场所。</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道路临时停车泊位，是指在城市道路规划红线内设置的供机动车临时停放的场所。</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非机动车停放点，是指在城市道路、广场和单位、小区内部等设置的供非机动车停放的场所。</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eastAsia="黑体"/>
          <w:bCs/>
          <w:sz w:val="32"/>
          <w:szCs w:val="32"/>
        </w:rPr>
        <w:t>第四条</w:t>
      </w:r>
      <w:r>
        <w:rPr>
          <w:rFonts w:hint="eastAsia" w:ascii="仿宋_GB2312" w:hAnsi="仿宋_GB2312" w:eastAsia="仿宋_GB2312" w:cs="仿宋_GB2312"/>
          <w:bCs/>
          <w:sz w:val="32"/>
          <w:szCs w:val="32"/>
          <w:lang w:eastAsia="zh-CN"/>
        </w:rPr>
        <w:t>　</w:t>
      </w:r>
      <w:r>
        <w:rPr>
          <w:rFonts w:hint="eastAsia" w:ascii="仿宋_GB2312" w:eastAsia="仿宋_GB2312"/>
          <w:bCs/>
          <w:sz w:val="32"/>
          <w:szCs w:val="32"/>
        </w:rPr>
        <w:t>停车管理遵循科学规划、多元共建、合理供给、方便公众的原则。</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第五条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市、县（市、区）人民政府统一领导停车管理工作，完善政策措施，建立议事协调机制，解决停车管理工作中的重大问题。</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住房和城乡建设主管部门牵头负责城区停车管理工作。公安机关交通管理、城市管理、自然资源和规划、发展改革、经济和信息化、财政、市场监管、消防救援、人民防空等有关部门按照各自职责，负责停车管理有关工作。</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街道办事处（镇人民政府）协助有关行政主管部门做好辖区内的停车管理工作，指导村（居）民委员会、业主委员会、物业服务人开展停车自治管理和服务工作。</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仿宋_GB2312"/>
          <w:bCs/>
          <w:sz w:val="32"/>
          <w:szCs w:val="32"/>
        </w:rPr>
      </w:pPr>
      <w:r>
        <w:rPr>
          <w:rFonts w:hint="eastAsia" w:ascii="仿宋_GB2312" w:eastAsia="黑体"/>
          <w:bCs/>
          <w:sz w:val="32"/>
          <w:szCs w:val="32"/>
        </w:rPr>
        <w:t>第六条</w:t>
      </w:r>
      <w:r>
        <w:rPr>
          <w:rFonts w:hint="eastAsia" w:ascii="仿宋_GB2312" w:hAnsi="仿宋_GB2312" w:eastAsia="仿宋_GB2312" w:cs="仿宋_GB2312"/>
          <w:bCs/>
          <w:sz w:val="32"/>
          <w:szCs w:val="32"/>
          <w:lang w:eastAsia="zh-CN"/>
        </w:rPr>
        <w:t>　</w:t>
      </w:r>
      <w:r>
        <w:rPr>
          <w:rFonts w:hint="eastAsia" w:ascii="仿宋_GB2312" w:eastAsia="仿宋_GB2312"/>
          <w:bCs/>
          <w:sz w:val="32"/>
          <w:szCs w:val="32"/>
        </w:rPr>
        <w:t>市人民政府统筹推进停车管理和服务的智能化、信息化工作，提升停车管理和服务的科技化水平。</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color w:val="auto"/>
          <w:sz w:val="32"/>
          <w:szCs w:val="32"/>
        </w:rPr>
      </w:pPr>
    </w:p>
    <w:p>
      <w:pPr>
        <w:keepNext w:val="0"/>
        <w:keepLines w:val="0"/>
        <w:pageBreakBefore w:val="0"/>
        <w:widowControl w:val="0"/>
        <w:kinsoku/>
        <w:wordWrap/>
        <w:overflowPunct w:val="0"/>
        <w:topLinePunct/>
        <w:autoSpaceDE/>
        <w:autoSpaceDN/>
        <w:bidi w:val="0"/>
        <w:adjustRightInd/>
        <w:snapToGrid/>
        <w:spacing w:line="240" w:lineRule="auto"/>
        <w:ind w:right="0" w:rightChars="0"/>
        <w:jc w:val="center"/>
        <w:textAlignment w:val="auto"/>
        <w:rPr>
          <w:rFonts w:ascii="黑体" w:hAnsi="黑体" w:eastAsia="黑体"/>
          <w:bCs/>
          <w:sz w:val="32"/>
          <w:szCs w:val="32"/>
        </w:rPr>
      </w:pPr>
      <w:r>
        <w:rPr>
          <w:rFonts w:hint="eastAsia" w:ascii="黑体" w:hAnsi="黑体" w:eastAsia="黑体"/>
          <w:bCs/>
          <w:sz w:val="32"/>
          <w:szCs w:val="32"/>
        </w:rPr>
        <w:t>第二章</w:t>
      </w:r>
      <w:r>
        <w:rPr>
          <w:rFonts w:hint="eastAsia" w:ascii="黑体" w:hAnsi="黑体" w:eastAsia="黑体"/>
          <w:bCs/>
          <w:sz w:val="32"/>
          <w:szCs w:val="32"/>
          <w:lang w:eastAsia="zh-CN"/>
        </w:rPr>
        <w:t>　</w:t>
      </w:r>
      <w:r>
        <w:rPr>
          <w:rFonts w:hint="eastAsia" w:ascii="黑体" w:hAnsi="黑体" w:eastAsia="黑体"/>
          <w:bCs/>
          <w:sz w:val="32"/>
          <w:szCs w:val="32"/>
        </w:rPr>
        <w:t>停车设施规划与建设</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jc w:val="center"/>
        <w:textAlignment w:val="auto"/>
        <w:rPr>
          <w:rFonts w:hint="eastAsia" w:ascii="宋体" w:hAnsi="宋体" w:eastAsia="宋体" w:cs="宋体"/>
          <w:color w:val="auto"/>
          <w:sz w:val="32"/>
          <w:szCs w:val="32"/>
        </w:rPr>
      </w:pP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第七条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住房和城乡建设主管部门应当依据国土空间规划和城市综合交通体系规划，结合城市功能分区的区位特征，合理测算停放需求，统筹地上地下资源，编制停车设施专项规划，并做好与控制性详细规划的衔接。</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编制市、县（市）停车设施专项规划，应当征求自然资源和规划、公安机关交通管理、城市管理等主管部门意见，并听取社会公众意见。编制市停车设施专项规划时，还应当征求各区人民政府的意见。</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停车设施专项规划经本级人民政府批准后公布实施。</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经批准的停车设施专项规划不得擅自调整。确需调整的，应当报原批准机关审批。</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第八条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住房和城乡建设主管部门应当根据停车设施专项规划并参考交通影响评价结果，组织编制停车设施年度建设计划，经本级人民政府批准后实施。</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年度建设计划应当包含对老旧小区、学校、大型医院、大型城市综合体等供需矛盾突出区域的停车设施综合改善方案。</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eastAsia="黑体"/>
          <w:bCs/>
          <w:sz w:val="32"/>
          <w:szCs w:val="32"/>
        </w:rPr>
        <w:t>第九条</w:t>
      </w:r>
      <w:r>
        <w:rPr>
          <w:rFonts w:hint="eastAsia" w:ascii="仿宋_GB2312" w:hAnsi="仿宋_GB2312" w:eastAsia="仿宋_GB2312" w:cs="仿宋_GB2312"/>
          <w:bCs/>
          <w:sz w:val="32"/>
          <w:szCs w:val="32"/>
          <w:lang w:eastAsia="zh-CN"/>
        </w:rPr>
        <w:t>　</w:t>
      </w:r>
      <w:r>
        <w:rPr>
          <w:rFonts w:hint="eastAsia" w:ascii="仿宋_GB2312" w:eastAsia="仿宋_GB2312"/>
          <w:bCs/>
          <w:sz w:val="32"/>
          <w:szCs w:val="32"/>
        </w:rPr>
        <w:t>停车设施的建设，应当符合国家、省、市设置标准和设计规范，并按照规定设置无障碍停车泊位和充电设施。</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eastAsia="黑体"/>
          <w:bCs/>
          <w:sz w:val="32"/>
          <w:szCs w:val="32"/>
        </w:rPr>
        <w:t>第十条</w:t>
      </w:r>
      <w:r>
        <w:rPr>
          <w:rFonts w:hint="eastAsia" w:ascii="仿宋_GB2312" w:hAnsi="仿宋_GB2312" w:eastAsia="仿宋_GB2312" w:cs="仿宋_GB2312"/>
          <w:bCs/>
          <w:sz w:val="32"/>
          <w:szCs w:val="32"/>
          <w:lang w:eastAsia="zh-CN"/>
        </w:rPr>
        <w:t>　</w:t>
      </w:r>
      <w:r>
        <w:rPr>
          <w:rFonts w:hint="eastAsia" w:ascii="仿宋_GB2312" w:eastAsia="仿宋_GB2312"/>
          <w:bCs/>
          <w:sz w:val="32"/>
          <w:szCs w:val="32"/>
        </w:rPr>
        <w:t>在城市交通枢纽、大型公交场站、客流集散地等可以实现停车换乘公共交通的区域，应当规划建设独立停车场。</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第十一条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自然资源和规划主管部门应当按照法律、法规等规定，根据区位特征、建设项目性质、机动车和非机动车停车需求，制定建设项目配建停车场的配建标准。</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建设项目配建停车场的配建标准应当向社会公布，并动态调整。</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第十二条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建设单位应当按照建设项目配建标准配建停车场，与主体工程同步规划设计、同步施工、同步验收、同步交付使用。</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配建停车场不符合规划、不满足配建标准的，自然资源和规划主管部门不得进行规划许可和规划核实。配建停车场不符合有关工程建设标准的，建设单位不得组织竣工验收，住房和城乡建设部门不得进行竣工备案。</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自然资源和规划主管部门在办理规划核实时，应当审核商住一体建设项目配建的住宅停车位的具体位置。</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建设单位租售商住一体建设项目配建停车位的，应当在租售方案中明确标示配建住宅停车位的数量和具体位置。</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第十三条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下列建筑、场所由于历史原因，无配建停车场或者配建停车场未达到现有标准的，在具备规划空间、满足建设条件的前提下，住房和城乡建设主管部门应当组织补建：</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（一）机场、车站、公共交通枢纽站；</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（二）学校、医院、公园、影剧院、体育场（馆）、博物馆、图书馆、旅游集散中心、公务办公楼以及政务服务窗口单位的办公场所；</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（三）金融、商场、宾馆、餐饮、娱乐等大中型经营场所；</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（四）其他应当补建的场所。</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停车设施补建的具体办法由市、县（市）人民政府制定。</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eastAsia="黑体"/>
          <w:bCs/>
          <w:sz w:val="32"/>
          <w:szCs w:val="32"/>
        </w:rPr>
        <w:t>第十四条</w:t>
      </w:r>
      <w:r>
        <w:rPr>
          <w:rFonts w:hint="eastAsia" w:ascii="仿宋_GB2312" w:hAnsi="仿宋_GB2312" w:eastAsia="仿宋_GB2312" w:cs="仿宋_GB2312"/>
          <w:bCs/>
          <w:sz w:val="32"/>
          <w:szCs w:val="32"/>
          <w:lang w:eastAsia="zh-CN"/>
        </w:rPr>
        <w:t>　</w:t>
      </w:r>
      <w:r>
        <w:rPr>
          <w:rFonts w:hint="eastAsia" w:ascii="仿宋_GB2312" w:eastAsia="仿宋_GB2312"/>
          <w:bCs/>
          <w:sz w:val="32"/>
          <w:szCs w:val="32"/>
        </w:rPr>
        <w:t>在停车泊位供需矛盾突出的区域，城市管理主管部门在征求公安机关交通管理、住房和城乡建设、消防救援等主管部门意见后，可以利用城市公共场地设置临时停车场（泊位）。</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经住宅小区业主依法共同决定，利用城市道路规划红线外与建筑物外缘之间的业主共有的开放式场地设置临时停车场（泊位）的，或者土地使用权人利用待建土地、空闲场地等设置临时停车场（泊位）的，应当在设置前向城市管理主管部门书面报告。对符合规划要求的，城市管理主管部门应当在收到报告十日内，会同自然资源和规划、公安机关交通管理、住房和城乡建设、消防救援等主管部门进行现场查勘，并给予指导。</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临时停车场（泊位）的设置，应当保障行人、非机动车的通行和安全，不得占用城市道路人行道及规划绿地，不得借用城市道路人行道设置出入口，不得妨碍消防设施和市政基础设施的正常使用。</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临时停车场（泊位）设置的程序、标准和监督管理等具体办法由市、县（市）人民政府制定。</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第十五条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新建停车设施项目使用新增建设用地的，应当在土地利用年度计划指标中统筹安排。</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城市更新改造、功能性搬迁等腾出的土地，应当规划一定比例用于建设向公众开放的停车设施。</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鼓励因地制宜利用广场、公园、绿地、城市道路、学校操场等资源的地下空间建设向公众开放的停车设施，但不得影响原有设施的安全和使用。</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第十六条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鼓励社会资本参与建设和经营停车设施。</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市、县（市、区）人民政府应当为社会资本参与建设和经营停车设施提供规划、建设、经营等方面的政策支持。</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第十七条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公安机关交通管理部门应当根据道路交通情况和机动车停放需求，依法设置道路临时停车泊位。</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设置道路临时停车泊位应当坚持以下原则：</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 xml:space="preserve">（一）优先保障行人、非机动车、公共交通的通行及安全； </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（二）符合区域道路停车总量控制要求；</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（三）与区域停放车辆供求状况、车辆通行条件和道路承载能力相适应。</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公安机关交通管理部门应当在设置道路临时停车泊位十日前，将施划地点、停车时段、停车种类以及其他规定事项向社会公告，在该路段以显著标志公示，并广泛征求临时停放区域周边有关单位的意见。</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第十八条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在住宅小区、商业集中区等停车泊位供需矛盾突出且具备节假日、夜间等停车条件的周边道路，公安机关交通管理部门应当设置时段性机动车停放区域。</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在交通客运换乘场站、学校、医院以及其他客流集中的公共场所周边道路，公安机关交通管理部门应当设置机动车临停快走区域。</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设置时段性机动车停放区域和机动车临停快走区域的，公安机关交通管理部门应当在现场公示停放时段、停放范围等内容。</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第十九条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下列区域不得设置道路临时停车泊位：</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 xml:space="preserve">（一）消防通道、大型公共建筑附近的疏散通道； </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 xml:space="preserve">（二）燃气管道、光缆线路等地下管线密集区域； </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（三）已建成能够提供充足车位的公共停车场所服务半径三百米内的区域；</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（四）道路交叉口和学校出入口、公共交通站点附近三十米范围内的区域；</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（五）其他不得设置的区域。</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第二十条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道路临时停车泊位有下列情形之一的，应当及时调整或者撤除：</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（一）道路交通状况发生变化，停车泊位影响行人、车辆正常通行；</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（二）周边停车场所投入使用并且可以满足停车需要；</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（三）城市基础设施或者其他公共设施建设需要；</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（四）其他需要调整或者撤除的情形。</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调整或者撤除道路临时停车泊位的，公安机关交通管理部门应当在七日前向社会公告，因交通管制以及其他紧急情况依法需要即时调整或者撤除的除外。</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道路临时停车泊位撤除后，设置主体应当及时恢复道路原状。</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第二十一条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任何单位和个人不得有下列行为：</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（一）擅自占用城市道路、广场等城市公共场地设置停车场或者施划停车泊位；</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（二）擅自占用城市道路、广场等城市公共场地设置地桩、地锁或者其他障碍物影响车辆停放；</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（三）擅自涂改、撤除道路临时停车泊位的标志、标线。</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仿宋_GB2312"/>
          <w:bCs/>
          <w:sz w:val="32"/>
          <w:szCs w:val="32"/>
        </w:rPr>
      </w:pPr>
      <w:r>
        <w:rPr>
          <w:rFonts w:hint="eastAsia" w:ascii="仿宋_GB2312" w:eastAsia="黑体"/>
          <w:bCs/>
          <w:sz w:val="32"/>
          <w:szCs w:val="32"/>
        </w:rPr>
        <w:t>第二十二条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城市管理主管部门、公安机关交通管理部门应当按照管理职责，根据非机动车停车需求，在不影响道路通行和市容环境的条件下，合理设置非机动车停放点。</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color w:val="auto"/>
          <w:sz w:val="32"/>
          <w:szCs w:val="32"/>
        </w:rPr>
      </w:pPr>
    </w:p>
    <w:p>
      <w:pPr>
        <w:keepNext w:val="0"/>
        <w:keepLines w:val="0"/>
        <w:pageBreakBefore w:val="0"/>
        <w:widowControl w:val="0"/>
        <w:kinsoku/>
        <w:wordWrap/>
        <w:overflowPunct w:val="0"/>
        <w:topLinePunct/>
        <w:autoSpaceDE/>
        <w:autoSpaceDN/>
        <w:bidi w:val="0"/>
        <w:adjustRightInd/>
        <w:snapToGrid/>
        <w:spacing w:line="240" w:lineRule="auto"/>
        <w:ind w:right="0" w:rightChars="0"/>
        <w:jc w:val="center"/>
        <w:textAlignment w:val="auto"/>
        <w:rPr>
          <w:rFonts w:ascii="黑体" w:hAnsi="黑体" w:eastAsia="黑体"/>
          <w:bCs/>
          <w:sz w:val="32"/>
          <w:szCs w:val="32"/>
        </w:rPr>
      </w:pPr>
      <w:r>
        <w:rPr>
          <w:rFonts w:hint="eastAsia" w:ascii="黑体" w:hAnsi="黑体" w:eastAsia="黑体"/>
          <w:bCs/>
          <w:sz w:val="32"/>
          <w:szCs w:val="32"/>
        </w:rPr>
        <w:t>第三章</w:t>
      </w:r>
      <w:r>
        <w:rPr>
          <w:rFonts w:hint="eastAsia" w:ascii="黑体" w:hAnsi="黑体" w:eastAsia="黑体"/>
          <w:bCs/>
          <w:sz w:val="32"/>
          <w:szCs w:val="32"/>
          <w:lang w:eastAsia="zh-CN"/>
        </w:rPr>
        <w:t>　</w:t>
      </w:r>
      <w:r>
        <w:rPr>
          <w:rFonts w:hint="eastAsia" w:ascii="黑体" w:hAnsi="黑体" w:eastAsia="黑体"/>
          <w:bCs/>
          <w:sz w:val="32"/>
          <w:szCs w:val="32"/>
        </w:rPr>
        <w:t>停车设施管理与停车行为规范</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color w:val="auto"/>
          <w:sz w:val="32"/>
          <w:szCs w:val="32"/>
        </w:rPr>
      </w:pP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eastAsia="黑体"/>
          <w:bCs/>
          <w:sz w:val="32"/>
          <w:szCs w:val="32"/>
        </w:rPr>
        <w:t>第二十三条</w:t>
      </w:r>
      <w:r>
        <w:rPr>
          <w:rFonts w:hint="eastAsia" w:ascii="仿宋_GB2312" w:hAnsi="仿宋_GB2312" w:eastAsia="仿宋_GB2312" w:cs="仿宋_GB2312"/>
          <w:bCs/>
          <w:sz w:val="32"/>
          <w:szCs w:val="32"/>
          <w:lang w:eastAsia="zh-CN"/>
        </w:rPr>
        <w:t>　</w:t>
      </w:r>
      <w:r>
        <w:rPr>
          <w:rFonts w:hint="eastAsia" w:ascii="仿宋_GB2312" w:eastAsia="仿宋_GB2312"/>
          <w:bCs/>
          <w:sz w:val="32"/>
          <w:szCs w:val="32"/>
        </w:rPr>
        <w:t>市人民政府住房和城乡建设主管部门应当统筹建立全市统一的智慧停车综合管理服务平台，对停车设施及车辆停放情况实行动态管理，实时更新数据，向社会提供停车信息服务。</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第二十四条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机动车停车设施经营者应当遵守下列规定：</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（一）制定并落实车辆停放、环境卫生、配套设施和地面或者路面维护保养等制度；</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（二）在停车设施出入口的显著位置公示停车设施标志、服务项目、定价方式、收费依据、收费标准、车位数量、免收停车费情况、监督电话和应急情况处置流程；</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（三）按照公示的标准进行收费并提供收费凭证或者票据；</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（四）引导车辆有序进出和停放，维护停车秩序；</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（五）保障无障碍停车泊位和新能源车专用停车泊位的规范使用；</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（六）执行关于免收停车费的规定；</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（七）法律、法规的其他规定。</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利用人民防空工程停放车辆，应当遵守人民防空工程管理的法律、法规，不得影响其战时防护和应急避险功能。</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第二十五条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配建停车场应当按照规划用途使用。禁止下列行为：</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（一）擅自将配建停车场改作他用；</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（二）擅自减少机动车停车泊位数量；</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（三）擅自减少非机动车停放使用面积。</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本条例施行前，已经建成的配建停车场存在前款情形的，市、县（市）人民政府应当组织有关责任人限期整改，恢复停车规划用途。</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第二十六条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鼓励机关、社会团体、企业事业单位和其他组织办公场所的停车设施在非工作时间向社会开放。</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鼓励住宅小区在满足本小区居民停车需求的情况下，将小区停车设施开放共享。</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鼓励个人将有权使用的停车泊位错时共享。</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第二十七条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市、县（市）人民政府应当完善政府定价范围内的机动车停车设施收费机制。发展改革部门应当会同有关部门对纳入政府定价范围的机动车停车设施，根据区位、车型、时段、设施条件等制定机动车停放差别化收费标准，并动态调整。</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政府定价以外的停车设施采取市场调节价方式收费。</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市场监管部门负责对机动车停车收费行为进行监督检查。</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第二十八条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实行政府定价管理的机场、车站等交通枢纽的机动车停车设施免费停放时限不少于十五分钟；实行政府定价管理的其他机动车停车设施免费停放时限不少于三十分钟。</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鼓励实行市场调节价的机动车停车设施实行不少于三十分钟的免费停放时限。</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法律、法规规定免收停车费的车辆，应当依法予以免收。</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第二十九条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停放车辆应当遵守车辆停放管理的法律、法规和停车设施管理制度，爱护停车设备，安全、有序停放车辆。</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停放车辆不得擅自占用无障碍停车泊位和新能源车专用停车泊位。</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任何单位和个人不得将废弃汽车长期停放在城区道路、公共绿地、市政桥梁下、空置场地、居民小区等公共区域。</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第三十条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在道路临时停车泊位停放机动车，应当遵守下列规定：</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（一）听从交通警察指挥，服从道路停车泊位员引导；</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（二）在允许停放时段停放车辆；</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（三）按照停车泊位标识方向或者道路顺行方向停放车辆；</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（四）按照停车位标线在停车泊位内停放车辆；</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（五）其他有关道路交通秩序和道路停车泊位使用的规定。</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第三十一条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停放非机动车，应当整齐有序停放在非机动车停放点内；没有设置非机动车停车点的，不得妨碍其他车辆和行人通行，不得影响市容环境。</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禁止在公共门厅、疏散走道、楼梯间、安全出口停放电动自行车。</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eastAsia="黑体"/>
          <w:bCs/>
          <w:sz w:val="32"/>
          <w:szCs w:val="32"/>
        </w:rPr>
        <w:t>第三十二条</w:t>
      </w:r>
      <w:r>
        <w:rPr>
          <w:rFonts w:hint="eastAsia" w:ascii="仿宋_GB2312" w:hAnsi="仿宋_GB2312" w:eastAsia="仿宋_GB2312" w:cs="仿宋_GB2312"/>
          <w:bCs/>
          <w:sz w:val="32"/>
          <w:szCs w:val="32"/>
          <w:lang w:eastAsia="zh-CN"/>
        </w:rPr>
        <w:t>　</w:t>
      </w:r>
      <w:r>
        <w:rPr>
          <w:rFonts w:hint="eastAsia" w:ascii="仿宋_GB2312" w:eastAsia="仿宋_GB2312"/>
          <w:bCs/>
          <w:sz w:val="32"/>
          <w:szCs w:val="32"/>
        </w:rPr>
        <w:t>沿街单位和商户对其市容环境卫生责任区内不按规定停放非机动车的，可以予以劝阻，引导停放至非机动车停放点；对不听劝阻的，可以向城市管理执法部门报告。</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eastAsia="黑体"/>
          <w:bCs/>
          <w:sz w:val="32"/>
          <w:szCs w:val="32"/>
        </w:rPr>
        <w:t>第三十三条</w:t>
      </w:r>
      <w:r>
        <w:rPr>
          <w:rFonts w:hint="eastAsia" w:ascii="仿宋_GB2312" w:hAnsi="仿宋_GB2312" w:eastAsia="仿宋_GB2312" w:cs="仿宋_GB2312"/>
          <w:bCs/>
          <w:sz w:val="32"/>
          <w:szCs w:val="32"/>
          <w:lang w:eastAsia="zh-CN"/>
        </w:rPr>
        <w:t>　</w:t>
      </w:r>
      <w:r>
        <w:rPr>
          <w:rFonts w:hint="eastAsia" w:ascii="仿宋_GB2312" w:eastAsia="仿宋_GB2312"/>
          <w:bCs/>
          <w:sz w:val="32"/>
          <w:szCs w:val="32"/>
        </w:rPr>
        <w:t>城市管理主管部门、公安机关交通管理部门应当加强对互联网租赁自行车停放秩序的监督管理。</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仿宋_GB2312"/>
          <w:bCs/>
          <w:sz w:val="32"/>
          <w:szCs w:val="32"/>
        </w:rPr>
      </w:pPr>
      <w:r>
        <w:rPr>
          <w:rFonts w:hint="eastAsia" w:ascii="仿宋_GB2312" w:hAnsi="Times New Roman" w:eastAsia="仿宋_GB2312" w:cs="Times New Roman"/>
          <w:bCs/>
          <w:color w:val="auto"/>
          <w:kern w:val="2"/>
          <w:sz w:val="32"/>
          <w:szCs w:val="32"/>
        </w:rPr>
        <w:t>互联网租赁自行车经营者应当加强车辆停放秩序的管理工作，采取技术手段引导车辆租赁人在规定区域内有序停放车辆，并及时清理占用道路、广场、绿地等公共场所的车辆。</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bCs/>
          <w:sz w:val="32"/>
          <w:szCs w:val="32"/>
        </w:rPr>
      </w:pPr>
    </w:p>
    <w:p>
      <w:pPr>
        <w:keepNext w:val="0"/>
        <w:keepLines w:val="0"/>
        <w:pageBreakBefore w:val="0"/>
        <w:widowControl w:val="0"/>
        <w:kinsoku/>
        <w:wordWrap/>
        <w:overflowPunct w:val="0"/>
        <w:topLinePunct/>
        <w:autoSpaceDE/>
        <w:autoSpaceDN/>
        <w:bidi w:val="0"/>
        <w:adjustRightInd/>
        <w:snapToGrid/>
        <w:spacing w:line="240" w:lineRule="auto"/>
        <w:ind w:right="0" w:rightChars="0"/>
        <w:jc w:val="center"/>
        <w:textAlignment w:val="auto"/>
        <w:rPr>
          <w:rFonts w:ascii="黑体" w:hAnsi="黑体" w:eastAsia="黑体"/>
          <w:bCs/>
          <w:sz w:val="32"/>
          <w:szCs w:val="32"/>
        </w:rPr>
      </w:pPr>
      <w:r>
        <w:rPr>
          <w:rFonts w:hint="eastAsia" w:ascii="黑体" w:hAnsi="黑体" w:eastAsia="黑体"/>
          <w:bCs/>
          <w:sz w:val="32"/>
          <w:szCs w:val="32"/>
        </w:rPr>
        <w:t>第四章</w:t>
      </w:r>
      <w:r>
        <w:rPr>
          <w:rFonts w:hint="eastAsia" w:ascii="黑体" w:hAnsi="黑体" w:eastAsia="黑体"/>
          <w:bCs/>
          <w:sz w:val="32"/>
          <w:szCs w:val="32"/>
          <w:lang w:eastAsia="zh-CN"/>
        </w:rPr>
        <w:t>　</w:t>
      </w:r>
      <w:r>
        <w:rPr>
          <w:rFonts w:hint="eastAsia" w:ascii="黑体" w:hAnsi="黑体" w:eastAsia="黑体"/>
          <w:bCs/>
          <w:sz w:val="32"/>
          <w:szCs w:val="32"/>
        </w:rPr>
        <w:t>法律责任</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color w:val="auto"/>
          <w:sz w:val="32"/>
          <w:szCs w:val="32"/>
        </w:rPr>
      </w:pP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eastAsia="黑体"/>
          <w:bCs/>
          <w:sz w:val="32"/>
          <w:szCs w:val="32"/>
        </w:rPr>
        <w:t>第三十四条</w:t>
      </w:r>
      <w:r>
        <w:rPr>
          <w:rFonts w:hint="eastAsia" w:ascii="仿宋_GB2312" w:hAnsi="仿宋_GB2312" w:eastAsia="仿宋_GB2312" w:cs="仿宋_GB2312"/>
          <w:bCs/>
          <w:sz w:val="32"/>
          <w:szCs w:val="32"/>
          <w:lang w:eastAsia="zh-CN"/>
        </w:rPr>
        <w:t>　</w:t>
      </w:r>
      <w:r>
        <w:rPr>
          <w:rFonts w:hint="eastAsia" w:ascii="仿宋_GB2312" w:eastAsia="仿宋_GB2312"/>
          <w:bCs/>
          <w:sz w:val="32"/>
          <w:szCs w:val="32"/>
        </w:rPr>
        <w:t>违反本条例规定的行为，法律、法规已有法律责任规定的，从其规定。</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第三十五条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违反本条例第二十一条第一项规定，擅自占用城市道路、广场等城市公共场地设置停车场或者施划停车泊位的，责令限期改正；拒不改正的，每一停车泊位处二百元的罚款。有违法所得的，没收违法所得。</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违反本条例第二十一条第二项、第三项规定，擅自占用城市道路、广场等城市公共场地设置地桩、地锁或者其他障碍物影响车辆停放的，或者擅自涂改、撤除道路临时停车泊位的标志、标线的，责令限期改正，对单位处五百元以上二千元以下的罚款，对个人处五十元以上二百元以下的罚款。</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本条第一款、第二款所述情形，涉及城市道路规划红线内的行政执法由公安机关交通管理部门负责，其余由城市管理执法部门负责。</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eastAsia="黑体"/>
          <w:bCs/>
          <w:sz w:val="32"/>
          <w:szCs w:val="32"/>
        </w:rPr>
        <w:t>第三十六条</w:t>
      </w:r>
      <w:r>
        <w:rPr>
          <w:rFonts w:hint="eastAsia" w:ascii="仿宋_GB2312" w:hAnsi="仿宋_GB2312" w:eastAsia="仿宋_GB2312" w:cs="仿宋_GB2312"/>
          <w:bCs/>
          <w:sz w:val="32"/>
          <w:szCs w:val="32"/>
          <w:lang w:eastAsia="zh-CN"/>
        </w:rPr>
        <w:t>　</w:t>
      </w:r>
      <w:r>
        <w:rPr>
          <w:rFonts w:hint="eastAsia" w:ascii="仿宋_GB2312" w:eastAsia="仿宋_GB2312"/>
          <w:bCs/>
          <w:sz w:val="32"/>
          <w:szCs w:val="32"/>
        </w:rPr>
        <w:t>违反本条例第二十四条第一款第一项、第二项规定，机动车停车设施的经营者未制定并落实车辆停放、环境卫生、配套设施和路面或者地面维护保养等制度的，或者未在停车设施出入口的显著位置公示停车设施标志、服务项目、车位数量、应急情况处置流程等事项的，由城市管理执法部门责令限期改正；逾期未改正的，处一千元以上五千元以下的罚款。</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eastAsia="黑体"/>
          <w:bCs/>
          <w:sz w:val="32"/>
          <w:szCs w:val="32"/>
        </w:rPr>
        <w:t>第三十七条</w:t>
      </w:r>
      <w:r>
        <w:rPr>
          <w:rFonts w:hint="eastAsia" w:ascii="仿宋_GB2312" w:hAnsi="仿宋_GB2312" w:eastAsia="仿宋_GB2312" w:cs="仿宋_GB2312"/>
          <w:bCs/>
          <w:sz w:val="32"/>
          <w:szCs w:val="32"/>
          <w:lang w:eastAsia="zh-CN"/>
        </w:rPr>
        <w:t>　</w:t>
      </w:r>
      <w:r>
        <w:rPr>
          <w:rFonts w:hint="eastAsia" w:ascii="仿宋_GB2312" w:hAnsi="Times New Roman" w:eastAsia="仿宋_GB2312" w:cs="Times New Roman"/>
          <w:bCs/>
          <w:color w:val="auto"/>
          <w:kern w:val="2"/>
          <w:sz w:val="32"/>
          <w:szCs w:val="32"/>
        </w:rPr>
        <w:t>违反本条例第二十五条规定，由城市管理执法部门予以处罚：</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（一）违反第一款第一项规定，擅自将配建停车场改作他用的，责令限期改正；逾期未改正的，处一万元以上十万元以下的罚款。</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hAnsi="Times New Roman" w:eastAsia="仿宋_GB2312" w:cs="Times New Roman"/>
          <w:bCs/>
          <w:color w:val="auto"/>
          <w:kern w:val="2"/>
          <w:sz w:val="32"/>
          <w:szCs w:val="32"/>
        </w:rPr>
      </w:pPr>
      <w:r>
        <w:rPr>
          <w:rFonts w:hint="eastAsia" w:ascii="仿宋_GB2312" w:hAnsi="Times New Roman" w:eastAsia="仿宋_GB2312" w:cs="Times New Roman"/>
          <w:bCs/>
          <w:color w:val="auto"/>
          <w:kern w:val="2"/>
          <w:sz w:val="32"/>
          <w:szCs w:val="32"/>
        </w:rPr>
        <w:t>（二）违反第一款第二项规定，擅自减少机动车停放车位的，责令限期改正；逾期未改正的，每减少一个机动车停车泊位处二百元的罚款。</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黑体"/>
          <w:bCs/>
          <w:sz w:val="32"/>
          <w:szCs w:val="32"/>
        </w:rPr>
      </w:pPr>
      <w:r>
        <w:rPr>
          <w:rFonts w:hint="eastAsia" w:ascii="仿宋_GB2312" w:hAnsi="Times New Roman" w:eastAsia="仿宋_GB2312" w:cs="Times New Roman"/>
          <w:bCs/>
          <w:color w:val="auto"/>
          <w:kern w:val="2"/>
          <w:sz w:val="32"/>
          <w:szCs w:val="32"/>
        </w:rPr>
        <w:t>（三）违反第一款第三项规定，擅自减少非机动车停放使用面积，责令限期改正；逾期未改正的，每减少一平方米处十元的罚款。</w:t>
      </w:r>
    </w:p>
    <w:p>
      <w:pPr>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ascii="仿宋_GB2312" w:eastAsia="仿宋_GB2312"/>
          <w:bCs/>
          <w:sz w:val="32"/>
          <w:szCs w:val="32"/>
        </w:rPr>
      </w:pPr>
      <w:r>
        <w:rPr>
          <w:rFonts w:hint="eastAsia" w:ascii="仿宋_GB2312" w:eastAsia="黑体"/>
          <w:bCs/>
          <w:sz w:val="32"/>
          <w:szCs w:val="32"/>
        </w:rPr>
        <w:t>第三十八条</w:t>
      </w:r>
      <w:r>
        <w:rPr>
          <w:rFonts w:hint="eastAsia" w:ascii="仿宋_GB2312" w:hAnsi="仿宋_GB2312" w:eastAsia="仿宋_GB2312" w:cs="仿宋_GB2312"/>
          <w:bCs/>
          <w:sz w:val="32"/>
          <w:szCs w:val="32"/>
          <w:lang w:eastAsia="zh-CN"/>
        </w:rPr>
        <w:t>　</w:t>
      </w:r>
      <w:r>
        <w:rPr>
          <w:rFonts w:hint="eastAsia" w:ascii="仿宋_GB2312" w:eastAsia="仿宋_GB2312"/>
          <w:bCs/>
          <w:sz w:val="32"/>
          <w:szCs w:val="32"/>
        </w:rPr>
        <w:t>负有停车管理职责的部门及其工作人员滥用职权、徇私舞弊、玩忽职守的，依法给予处分；构成犯罪的，依法追究刑事责任。</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color w:val="auto"/>
          <w:sz w:val="32"/>
          <w:szCs w:val="32"/>
        </w:rPr>
      </w:pPr>
    </w:p>
    <w:p>
      <w:pPr>
        <w:keepNext w:val="0"/>
        <w:keepLines w:val="0"/>
        <w:pageBreakBefore w:val="0"/>
        <w:widowControl w:val="0"/>
        <w:kinsoku/>
        <w:wordWrap/>
        <w:overflowPunct w:val="0"/>
        <w:topLinePunct/>
        <w:autoSpaceDE/>
        <w:autoSpaceDN/>
        <w:bidi w:val="0"/>
        <w:adjustRightInd/>
        <w:snapToGrid/>
        <w:spacing w:line="240" w:lineRule="auto"/>
        <w:ind w:right="0" w:rightChars="0"/>
        <w:jc w:val="center"/>
        <w:textAlignment w:val="auto"/>
        <w:rPr>
          <w:rFonts w:ascii="黑体" w:hAnsi="黑体" w:eastAsia="黑体"/>
          <w:bCs/>
          <w:sz w:val="32"/>
          <w:szCs w:val="32"/>
        </w:rPr>
      </w:pPr>
      <w:r>
        <w:rPr>
          <w:rFonts w:hint="eastAsia" w:ascii="黑体" w:hAnsi="黑体" w:eastAsia="黑体"/>
          <w:bCs/>
          <w:sz w:val="32"/>
          <w:szCs w:val="32"/>
        </w:rPr>
        <w:t>第五章</w:t>
      </w:r>
      <w:r>
        <w:rPr>
          <w:rFonts w:hint="eastAsia" w:ascii="黑体" w:hAnsi="黑体" w:eastAsia="黑体"/>
          <w:bCs/>
          <w:sz w:val="32"/>
          <w:szCs w:val="32"/>
          <w:lang w:eastAsia="zh-CN"/>
        </w:rPr>
        <w:t>　</w:t>
      </w:r>
      <w:r>
        <w:rPr>
          <w:rFonts w:hint="eastAsia" w:ascii="黑体" w:hAnsi="黑体" w:eastAsia="黑体"/>
          <w:bCs/>
          <w:sz w:val="32"/>
          <w:szCs w:val="32"/>
        </w:rPr>
        <w:t>附</w:t>
      </w:r>
      <w:r>
        <w:rPr>
          <w:rFonts w:hint="eastAsia" w:ascii="黑体" w:hAnsi="黑体" w:eastAsia="黑体"/>
          <w:bCs/>
          <w:sz w:val="32"/>
          <w:szCs w:val="32"/>
          <w:lang w:eastAsia="zh-CN"/>
        </w:rPr>
        <w:t>　　</w:t>
      </w:r>
      <w:r>
        <w:rPr>
          <w:rFonts w:hint="eastAsia" w:ascii="黑体" w:hAnsi="黑体" w:eastAsia="黑体"/>
          <w:bCs/>
          <w:sz w:val="32"/>
          <w:szCs w:val="32"/>
        </w:rPr>
        <w:t>则</w:t>
      </w:r>
    </w:p>
    <w:p>
      <w:pPr>
        <w:pStyle w:val="19"/>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color w:val="auto"/>
          <w:sz w:val="32"/>
          <w:szCs w:val="32"/>
        </w:rPr>
      </w:pPr>
    </w:p>
    <w:p>
      <w:pPr>
        <w:pStyle w:val="20"/>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pPr>
      <w:r>
        <w:rPr>
          <w:rFonts w:hint="eastAsia" w:ascii="仿宋_GB2312"/>
          <w:bCs/>
          <w:sz w:val="32"/>
          <w:szCs w:val="32"/>
        </w:rPr>
        <w:t>第三十九</w:t>
      </w:r>
      <w:r>
        <w:rPr>
          <w:rFonts w:hint="eastAsia" w:ascii="仿宋_GB2312" w:eastAsia="黑体"/>
          <w:bCs/>
          <w:sz w:val="32"/>
          <w:szCs w:val="32"/>
        </w:rPr>
        <w:t>条</w:t>
      </w:r>
      <w:r>
        <w:rPr>
          <w:rFonts w:hint="eastAsia" w:ascii="仿宋_GB2312" w:hAnsi="仿宋_GB2312" w:eastAsia="仿宋_GB2312" w:cs="仿宋_GB2312"/>
          <w:bCs/>
          <w:sz w:val="32"/>
          <w:szCs w:val="32"/>
          <w:lang w:eastAsia="zh-CN"/>
        </w:rPr>
        <w:t>　</w:t>
      </w:r>
      <w:r>
        <w:rPr>
          <w:rFonts w:hint="eastAsia" w:ascii="仿宋_GB2312" w:eastAsia="仿宋_GB2312"/>
          <w:bCs/>
          <w:sz w:val="32"/>
          <w:szCs w:val="32"/>
        </w:rPr>
        <w:t>本条</w:t>
      </w:r>
      <w:r>
        <w:rPr>
          <w:rFonts w:hint="default" w:ascii="Times New Roman" w:hAnsi="Times New Roman" w:eastAsia="仿宋_GB2312" w:cs="Times New Roman"/>
          <w:bCs/>
          <w:sz w:val="32"/>
          <w:szCs w:val="32"/>
        </w:rPr>
        <w:t>例自2023年7月</w:t>
      </w:r>
      <w:bookmarkStart w:id="0" w:name="_GoBack"/>
      <w:bookmarkEnd w:id="0"/>
      <w:r>
        <w:rPr>
          <w:rFonts w:hint="default" w:ascii="Times New Roman" w:hAnsi="Times New Roman" w:eastAsia="仿宋_GB2312" w:cs="Times New Roman"/>
          <w:bCs/>
          <w:sz w:val="32"/>
          <w:szCs w:val="32"/>
        </w:rPr>
        <w:t>1日</w:t>
      </w:r>
      <w:r>
        <w:rPr>
          <w:rFonts w:hint="eastAsia" w:ascii="仿宋_GB2312" w:eastAsia="仿宋_GB2312"/>
          <w:bCs/>
          <w:sz w:val="32"/>
          <w:szCs w:val="32"/>
        </w:rPr>
        <w:t>起施行。</w:t>
      </w:r>
    </w:p>
    <w:p>
      <w:pPr>
        <w:keepNext w:val="0"/>
        <w:keepLines w:val="0"/>
        <w:pageBreakBefore w:val="0"/>
        <w:widowControl w:val="0"/>
        <w:kinsoku/>
        <w:wordWrap/>
        <w:autoSpaceDE/>
        <w:autoSpaceDN/>
        <w:bidi w:val="0"/>
        <w:adjustRightInd/>
        <w:snapToGrid/>
        <w:spacing w:line="240" w:lineRule="auto"/>
        <w:ind w:left="0" w:leftChars="0" w:right="0" w:rightChars="0" w:firstLine="632" w:firstLineChars="200"/>
        <w:textAlignment w:val="auto"/>
        <w:rPr>
          <w:rFonts w:hint="eastAsia"/>
        </w:rPr>
      </w:pP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文鼎CS仿宋体">
    <w:altName w:val="宋体"/>
    <w:panose1 w:val="00000000000000000000"/>
    <w:charset w:val="00"/>
    <w:family w:val="auto"/>
    <w:pitch w:val="default"/>
    <w:sig w:usb0="00000000" w:usb1="00000000" w:usb2="00000000"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4898"/>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432B"/>
    <w:rsid w:val="00F97604"/>
    <w:rsid w:val="00FA7EE2"/>
    <w:rsid w:val="00FD0030"/>
    <w:rsid w:val="07FC0CDB"/>
    <w:rsid w:val="09A34AE0"/>
    <w:rsid w:val="0D9804AC"/>
    <w:rsid w:val="0D985D0D"/>
    <w:rsid w:val="1227056E"/>
    <w:rsid w:val="204D1B46"/>
    <w:rsid w:val="25237319"/>
    <w:rsid w:val="2A450AA9"/>
    <w:rsid w:val="329B31B7"/>
    <w:rsid w:val="3C434910"/>
    <w:rsid w:val="3DE63740"/>
    <w:rsid w:val="3E9843C7"/>
    <w:rsid w:val="40CF052E"/>
    <w:rsid w:val="481351D2"/>
    <w:rsid w:val="4DB74916"/>
    <w:rsid w:val="53543565"/>
    <w:rsid w:val="558A062C"/>
    <w:rsid w:val="574511ED"/>
    <w:rsid w:val="59A10AFD"/>
    <w:rsid w:val="61D51FCF"/>
    <w:rsid w:val="622F12CF"/>
    <w:rsid w:val="62F94650"/>
    <w:rsid w:val="714B0200"/>
    <w:rsid w:val="755E7506"/>
    <w:rsid w:val="75B275F6"/>
    <w:rsid w:val="775E649E"/>
    <w:rsid w:val="7BE53972"/>
    <w:rsid w:val="7CB81D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3"/>
    <w:next w:val="1"/>
    <w:unhideWhenUsed/>
    <w:qFormat/>
    <w:uiPriority w:val="0"/>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4">
    <w:name w:val="Body Text"/>
    <w:basedOn w:val="1"/>
    <w:next w:val="5"/>
    <w:qFormat/>
    <w:uiPriority w:val="0"/>
    <w:rPr>
      <w:rFonts w:ascii="Times New Roman" w:hAnsi="Times New Roman" w:eastAsia="仿宋_GB2312" w:cs="Times New Roman"/>
      <w:sz w:val="32"/>
      <w:szCs w:val="20"/>
    </w:rPr>
  </w:style>
  <w:style w:type="paragraph" w:styleId="5">
    <w:name w:val="Body Text Indent"/>
    <w:basedOn w:val="1"/>
    <w:next w:val="1"/>
    <w:qFormat/>
    <w:uiPriority w:val="0"/>
    <w:pPr>
      <w:spacing w:line="560" w:lineRule="exact"/>
      <w:ind w:firstLine="643" w:firstLineChars="200"/>
    </w:pPr>
    <w:rPr>
      <w:rFonts w:hAnsi="Calibri" w:cs="Calibri"/>
      <w:b/>
      <w:bCs/>
      <w:szCs w:val="21"/>
    </w:rPr>
  </w:style>
  <w:style w:type="paragraph" w:styleId="6">
    <w:name w:val="Plain Text"/>
    <w:basedOn w:val="1"/>
    <w:qFormat/>
    <w:uiPriority w:val="0"/>
    <w:rPr>
      <w:rFonts w:ascii="宋体" w:hAnsi="Courier New"/>
    </w:rPr>
  </w:style>
  <w:style w:type="paragraph" w:styleId="7">
    <w:name w:val="footer"/>
    <w:basedOn w:val="1"/>
    <w:next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spacing w:line="560" w:lineRule="exact"/>
      <w:ind w:left="630" w:leftChars="300" w:right="630" w:rightChars="300"/>
    </w:pPr>
    <w:rPr>
      <w:rFonts w:ascii="Calibri" w:hAnsi="Calibri" w:eastAsia="楷体" w:cs="Calibri"/>
      <w:sz w:val="32"/>
      <w:szCs w:val="32"/>
    </w:rPr>
  </w:style>
  <w:style w:type="paragraph" w:styleId="10">
    <w:name w:val="Body Text First Indent"/>
    <w:basedOn w:val="4"/>
    <w:next w:val="1"/>
    <w:qFormat/>
    <w:uiPriority w:val="0"/>
    <w:pPr>
      <w:ind w:firstLine="420" w:firstLineChars="100"/>
    </w:pPr>
    <w:rPr>
      <w:rFonts w:ascii="Calibri" w:hAnsi="Calibri" w:cs="Calibri"/>
    </w:rPr>
  </w:style>
  <w:style w:type="character" w:styleId="13">
    <w:name w:val="page number"/>
    <w:qFormat/>
    <w:uiPriority w:val="0"/>
  </w:style>
  <w:style w:type="character" w:styleId="14">
    <w:name w:val="FollowedHyperlink"/>
    <w:unhideWhenUsed/>
    <w:qFormat/>
    <w:uiPriority w:val="99"/>
    <w:rPr>
      <w:color w:val="954F72"/>
      <w:u w:val="single"/>
    </w:rPr>
  </w:style>
  <w:style w:type="character" w:styleId="15">
    <w:name w:val="Hyperlink"/>
    <w:qFormat/>
    <w:uiPriority w:val="99"/>
    <w:rPr>
      <w:rFonts w:hint="default" w:ascii="ˎ̥" w:hAnsi="ˎ̥"/>
      <w:color w:val="0404B3"/>
      <w:sz w:val="18"/>
      <w:szCs w:val="18"/>
      <w:u w:val="none"/>
    </w:rPr>
  </w:style>
  <w:style w:type="paragraph" w:customStyle="1" w:styleId="16">
    <w:name w:val="签发人"/>
    <w:basedOn w:val="1"/>
    <w:qFormat/>
    <w:uiPriority w:val="0"/>
    <w:rPr>
      <w:rFonts w:eastAsia="楷体"/>
      <w:sz w:val="32"/>
    </w:rPr>
  </w:style>
  <w:style w:type="character" w:customStyle="1" w:styleId="17">
    <w:name w:val="页脚 字符"/>
    <w:link w:val="7"/>
    <w:qFormat/>
    <w:uiPriority w:val="99"/>
    <w:rPr>
      <w:sz w:val="18"/>
      <w:szCs w:val="18"/>
    </w:rPr>
  </w:style>
  <w:style w:type="character" w:customStyle="1" w:styleId="18">
    <w:name w:val="页眉 字符"/>
    <w:link w:val="8"/>
    <w:qFormat/>
    <w:uiPriority w:val="99"/>
    <w:rPr>
      <w:sz w:val="18"/>
      <w:szCs w:val="18"/>
    </w:rPr>
  </w:style>
  <w:style w:type="paragraph" w:customStyle="1" w:styleId="19">
    <w:name w:val="Default"/>
    <w:qFormat/>
    <w:uiPriority w:val="0"/>
    <w:pPr>
      <w:widowControl w:val="0"/>
      <w:autoSpaceDE w:val="0"/>
      <w:autoSpaceDN w:val="0"/>
      <w:adjustRightInd w:val="0"/>
    </w:pPr>
    <w:rPr>
      <w:rFonts w:ascii="Calibri" w:hAnsi="Calibri" w:eastAsia="宋体" w:cs="宋体"/>
      <w:color w:val="000000"/>
      <w:sz w:val="24"/>
      <w:szCs w:val="24"/>
      <w:lang w:val="en-US" w:eastAsia="zh-CN" w:bidi="ar-SA"/>
    </w:rPr>
  </w:style>
  <w:style w:type="paragraph" w:customStyle="1" w:styleId="20">
    <w:name w:val="样式1"/>
    <w:basedOn w:val="1"/>
    <w:qFormat/>
    <w:uiPriority w:val="0"/>
    <w:rPr>
      <w:rFonts w:eastAsia="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5732</Words>
  <Characters>5743</Characters>
  <Lines>1</Lines>
  <Paragraphs>1</Paragraphs>
  <TotalTime>1</TotalTime>
  <ScaleCrop>false</ScaleCrop>
  <LinksUpToDate>false</LinksUpToDate>
  <CharactersWithSpaces>5806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2023-08-16T03:27:45Z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