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方正小标宋简体" w:hAnsi="Times New Roman" w:eastAsia="方正小标宋简体" w:cs="仿宋"/>
          <w:sz w:val="44"/>
          <w:szCs w:val="44"/>
        </w:rPr>
      </w:pPr>
    </w:p>
    <w:p>
      <w:pPr>
        <w:spacing w:line="640" w:lineRule="exact"/>
        <w:jc w:val="center"/>
        <w:rPr>
          <w:rFonts w:hint="eastAsia" w:ascii="方正小标宋简体" w:hAnsi="Times New Roman" w:eastAsia="方正小标宋简体" w:cs="仿宋"/>
          <w:sz w:val="44"/>
          <w:szCs w:val="44"/>
        </w:rPr>
      </w:pPr>
      <w:r>
        <w:rPr>
          <w:rFonts w:hint="eastAsia" w:ascii="方正小标宋简体" w:hAnsi="Times New Roman" w:eastAsia="方正小标宋简体" w:cs="仿宋"/>
          <w:sz w:val="44"/>
          <w:szCs w:val="44"/>
        </w:rPr>
        <w:t>黑龙江省电动车管理条例</w:t>
      </w:r>
    </w:p>
    <w:p>
      <w:pPr>
        <w:pStyle w:val="2"/>
      </w:pPr>
    </w:p>
    <w:p>
      <w:pPr>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ascii="宋体" w:hAnsi="宋体" w:eastAsia="宋体" w:cs="宋体"/>
          <w:sz w:val="32"/>
          <w:szCs w:val="32"/>
        </w:rPr>
      </w:pPr>
      <w:r>
        <w:rPr>
          <w:rFonts w:ascii="宋体" w:hAnsi="宋体" w:eastAsia="宋体" w:cs="宋体"/>
          <w:sz w:val="32"/>
          <w:szCs w:val="32"/>
        </w:rPr>
        <w:t>（2022年12月22日黑龙江省第十三届人民代表大会</w:t>
      </w:r>
    </w:p>
    <w:p>
      <w:pPr>
        <w:keepNext w:val="0"/>
        <w:keepLines w:val="0"/>
        <w:pageBreakBefore w:val="0"/>
        <w:widowControl w:val="0"/>
        <w:kinsoku/>
        <w:wordWrap/>
        <w:overflowPunct/>
        <w:topLinePunct w:val="0"/>
        <w:autoSpaceDE/>
        <w:autoSpaceDN/>
        <w:bidi w:val="0"/>
        <w:adjustRightInd/>
        <w:snapToGrid/>
        <w:ind w:left="420" w:leftChars="200" w:right="420" w:rightChars="200"/>
        <w:textAlignment w:val="auto"/>
        <w:rPr>
          <w:rFonts w:ascii="宋体" w:hAnsi="宋体" w:eastAsia="宋体" w:cs="宋体"/>
          <w:sz w:val="32"/>
          <w:szCs w:val="32"/>
        </w:rPr>
      </w:pPr>
      <w:r>
        <w:rPr>
          <w:rFonts w:ascii="宋体" w:hAnsi="宋体" w:eastAsia="宋体" w:cs="宋体"/>
          <w:sz w:val="32"/>
          <w:szCs w:val="32"/>
        </w:rPr>
        <w:t>常务委员会第三十九次会议通过）</w:t>
      </w:r>
    </w:p>
    <w:p>
      <w:pPr>
        <w:spacing w:line="500" w:lineRule="exact"/>
        <w:rPr>
          <w:rFonts w:ascii="Times New Roman" w:hAnsi="Times New Roman" w:eastAsia="仿宋_GB2312" w:cs="仿宋"/>
          <w:sz w:val="36"/>
          <w:szCs w:val="36"/>
        </w:rPr>
      </w:pPr>
    </w:p>
    <w:p>
      <w:pPr>
        <w:spacing w:line="640" w:lineRule="exact"/>
        <w:rPr>
          <w:rFonts w:ascii="仿宋" w:hAnsi="仿宋" w:eastAsia="仿宋_GB2312" w:cs="仿宋"/>
          <w:sz w:val="36"/>
          <w:szCs w:val="36"/>
        </w:rPr>
      </w:pPr>
      <w:r>
        <w:rPr>
          <w:rFonts w:hint="eastAsia" w:ascii="Times New Roman" w:hAnsi="Times New Roman" w:eastAsia="仿宋_GB2312" w:cs="仿宋"/>
          <w:sz w:val="36"/>
          <w:szCs w:val="36"/>
        </w:rPr>
        <w:t xml:space="preserve">   </w:t>
      </w:r>
      <w:r>
        <w:rPr>
          <w:rFonts w:hint="eastAsia" w:ascii="黑体" w:hAnsi="黑体" w:eastAsia="黑体" w:cs="黑体"/>
          <w:sz w:val="36"/>
          <w:szCs w:val="36"/>
        </w:rPr>
        <w:t xml:space="preserve"> 第一条</w:t>
      </w:r>
      <w:r>
        <w:rPr>
          <w:rFonts w:hint="eastAsia" w:ascii="仿宋" w:hAnsi="仿宋" w:eastAsia="仿宋_GB2312" w:cs="仿宋"/>
          <w:b/>
          <w:sz w:val="36"/>
          <w:szCs w:val="36"/>
        </w:rPr>
        <w:t xml:space="preserve">  </w:t>
      </w:r>
      <w:r>
        <w:rPr>
          <w:rFonts w:hint="eastAsia" w:ascii="仿宋" w:hAnsi="仿宋" w:eastAsia="仿宋_GB2312" w:cs="仿宋"/>
          <w:sz w:val="36"/>
          <w:szCs w:val="36"/>
        </w:rPr>
        <w:t>为了加强电动车管理，维护道路交通秩序，预防和减少交通、火灾等安全事故，保护公众人身、财产安全，根据《中华人民共和国道</w:t>
      </w:r>
      <w:bookmarkStart w:id="7" w:name="_GoBack"/>
      <w:bookmarkEnd w:id="7"/>
      <w:r>
        <w:rPr>
          <w:rFonts w:hint="eastAsia" w:ascii="仿宋" w:hAnsi="仿宋" w:eastAsia="仿宋_GB2312" w:cs="仿宋"/>
          <w:sz w:val="36"/>
          <w:szCs w:val="36"/>
        </w:rPr>
        <w:t>路交通安全法》《中华人民共和国消防法》《中华人民共和国产品质量法》等有关法律、行政法规，结合本省实际，制定本条例。</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第二条</w:t>
      </w:r>
      <w:r>
        <w:rPr>
          <w:rFonts w:hint="eastAsia" w:ascii="仿宋" w:hAnsi="仿宋" w:eastAsia="仿宋_GB2312" w:cs="仿宋"/>
          <w:b/>
          <w:sz w:val="36"/>
          <w:szCs w:val="36"/>
        </w:rPr>
        <w:t xml:space="preserve">  </w:t>
      </w:r>
      <w:r>
        <w:rPr>
          <w:rFonts w:hint="eastAsia" w:ascii="仿宋" w:hAnsi="仿宋" w:eastAsia="仿宋_GB2312" w:cs="仿宋"/>
          <w:sz w:val="36"/>
          <w:szCs w:val="36"/>
        </w:rPr>
        <w:t>本省行政区域内电动车的生产、销售、登记、通行、停放、充电等行为及其相关管理活动，适用本条例。</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 xml:space="preserve">第三条 </w:t>
      </w:r>
      <w:r>
        <w:rPr>
          <w:rFonts w:hint="eastAsia" w:ascii="仿宋" w:hAnsi="仿宋" w:eastAsia="仿宋_GB2312" w:cs="仿宋"/>
          <w:b/>
          <w:sz w:val="36"/>
          <w:szCs w:val="36"/>
        </w:rPr>
        <w:t xml:space="preserve"> </w:t>
      </w:r>
      <w:r>
        <w:rPr>
          <w:rFonts w:hint="eastAsia" w:ascii="仿宋" w:hAnsi="仿宋" w:eastAsia="仿宋_GB2312" w:cs="仿宋"/>
          <w:sz w:val="36"/>
          <w:szCs w:val="36"/>
        </w:rPr>
        <w:t>本条例所称电动车，包括电动自行车、电动摩托车、低速电动车。</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电动自行车是指以车载蓄电池作为辅助能源，具有脚踏骑行能力，能实现电助动、电驱动功能的两轮自行车。</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电动摩托车是指以车载蓄电池作为驱动装置的摩托车，包括轻便摩托车和普通摩托车。</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低速电动车是指符合国家限定低速标准，由电机驱动，且驱动电能来源于车载可充电能量储存系统的汽车。</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第四条</w:t>
      </w:r>
      <w:r>
        <w:rPr>
          <w:rFonts w:hint="eastAsia" w:ascii="仿宋" w:hAnsi="仿宋" w:eastAsia="仿宋_GB2312" w:cs="仿宋"/>
          <w:b/>
          <w:sz w:val="36"/>
          <w:szCs w:val="36"/>
        </w:rPr>
        <w:t xml:space="preserve">  </w:t>
      </w:r>
      <w:r>
        <w:rPr>
          <w:rFonts w:hint="eastAsia" w:ascii="仿宋" w:hAnsi="仿宋" w:eastAsia="仿宋_GB2312" w:cs="仿宋"/>
          <w:sz w:val="36"/>
          <w:szCs w:val="36"/>
        </w:rPr>
        <w:t>电动车管理应当遵循科学规划、依法规范，保障安全、方便群众，源头管理、协同共治的原则。</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 xml:space="preserve">第五条 </w:t>
      </w:r>
      <w:r>
        <w:rPr>
          <w:rFonts w:hint="eastAsia" w:ascii="仿宋" w:hAnsi="仿宋" w:eastAsia="仿宋_GB2312" w:cs="仿宋"/>
          <w:b/>
          <w:sz w:val="36"/>
          <w:szCs w:val="36"/>
        </w:rPr>
        <w:t xml:space="preserve"> </w:t>
      </w:r>
      <w:r>
        <w:rPr>
          <w:rFonts w:hint="eastAsia" w:ascii="仿宋" w:hAnsi="仿宋" w:eastAsia="仿宋_GB2312" w:cs="仿宋"/>
          <w:sz w:val="36"/>
          <w:szCs w:val="36"/>
        </w:rPr>
        <w:t>县级以上人民政府应当加强对电动车管理工作的领导，建立工作协调机制，统筹推进电动车管理工作，督促有关部门依法履行监督管理职责，及时研究解决电动</w:t>
      </w:r>
      <w:r>
        <w:rPr>
          <w:rFonts w:hint="eastAsia" w:ascii="仿宋" w:hAnsi="仿宋" w:eastAsia="仿宋_GB2312" w:cs="仿宋"/>
          <w:spacing w:val="-6"/>
          <w:sz w:val="36"/>
          <w:szCs w:val="36"/>
        </w:rPr>
        <w:t>车管理工作中的问题，并将所需工作经费纳入同级财政预算。</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乡镇人民政府、街道办事处应当督促本辖区单位落实电动车道路交通安全和消防安全责任，推动城乡社区参与电动车综合治理。</w:t>
      </w:r>
    </w:p>
    <w:p>
      <w:pPr>
        <w:spacing w:line="640" w:lineRule="exact"/>
        <w:ind w:firstLine="720"/>
        <w:rPr>
          <w:rFonts w:ascii="仿宋" w:hAnsi="仿宋" w:eastAsia="仿宋_GB2312" w:cs="仿宋"/>
          <w:sz w:val="36"/>
          <w:szCs w:val="36"/>
        </w:rPr>
      </w:pPr>
      <w:r>
        <w:rPr>
          <w:rFonts w:hint="eastAsia" w:ascii="仿宋" w:hAnsi="仿宋" w:eastAsia="仿宋_GB2312" w:cs="仿宋"/>
          <w:sz w:val="36"/>
          <w:szCs w:val="36"/>
        </w:rPr>
        <w:t>村民委员会、居民委员会应当协助有关部门做好电动车管理工作。</w:t>
      </w:r>
    </w:p>
    <w:p>
      <w:pPr>
        <w:pStyle w:val="3"/>
        <w:spacing w:beforeAutospacing="0" w:afterAutospacing="0" w:line="640" w:lineRule="exact"/>
        <w:ind w:firstLine="720"/>
        <w:rPr>
          <w:rFonts w:hint="default" w:ascii="仿宋" w:hAnsi="仿宋" w:eastAsia="仿宋_GB2312" w:cs="仿宋"/>
          <w:b w:val="0"/>
          <w:kern w:val="2"/>
          <w:sz w:val="36"/>
          <w:szCs w:val="36"/>
        </w:rPr>
      </w:pPr>
      <w:r>
        <w:rPr>
          <w:rFonts w:ascii="仿宋" w:hAnsi="仿宋" w:eastAsia="仿宋_GB2312" w:cs="仿宋"/>
          <w:b w:val="0"/>
          <w:kern w:val="2"/>
          <w:sz w:val="36"/>
          <w:szCs w:val="36"/>
        </w:rPr>
        <w:t>物业服务人应当积极配合用户安装充电设施并提供必要协助；制定安全措施，落实安全管理责任，加强巡逻检查，及时发现和制止违规停放、违规充电等行为。</w:t>
      </w:r>
    </w:p>
    <w:p>
      <w:pPr>
        <w:pStyle w:val="3"/>
        <w:spacing w:beforeAutospacing="0" w:afterAutospacing="0" w:line="640" w:lineRule="exact"/>
        <w:ind w:firstLine="720"/>
        <w:rPr>
          <w:rFonts w:hint="default" w:ascii="仿宋" w:hAnsi="仿宋" w:eastAsia="仿宋_GB2312" w:cs="仿宋"/>
          <w:b w:val="0"/>
          <w:kern w:val="2"/>
          <w:sz w:val="36"/>
          <w:szCs w:val="36"/>
        </w:rPr>
      </w:pPr>
      <w:r>
        <w:rPr>
          <w:rFonts w:ascii="仿宋" w:hAnsi="仿宋" w:eastAsia="仿宋_GB2312" w:cs="仿宋"/>
          <w:b w:val="0"/>
          <w:kern w:val="2"/>
          <w:sz w:val="36"/>
          <w:szCs w:val="36"/>
        </w:rPr>
        <w:t>业主委员会应当结合自身实际，明确物业服务区域内充电设施建设的具体流程。</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第六条</w:t>
      </w:r>
      <w:r>
        <w:rPr>
          <w:rFonts w:hint="eastAsia" w:ascii="仿宋" w:hAnsi="仿宋" w:eastAsia="仿宋_GB2312" w:cs="仿宋"/>
          <w:b/>
          <w:sz w:val="36"/>
          <w:szCs w:val="36"/>
        </w:rPr>
        <w:t xml:space="preserve">  </w:t>
      </w:r>
      <w:r>
        <w:rPr>
          <w:rFonts w:hint="eastAsia" w:ascii="仿宋" w:hAnsi="仿宋" w:eastAsia="仿宋_GB2312" w:cs="仿宋"/>
          <w:sz w:val="36"/>
          <w:szCs w:val="36"/>
        </w:rPr>
        <w:t>公安机关交通管理部门负责依法开展电动车登记工作，对电动车道路通行、停放进行监督管理。</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工业和信息化、市场监督管理等部门按照各自职责，依法对电动车及其充电器、蓄电池等零部件的生产、销售、维修进行监督管理。</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发展和改革</w:t>
      </w:r>
      <w:bookmarkStart w:id="0" w:name="_Hlk122461911"/>
      <w:r>
        <w:rPr>
          <w:rFonts w:hint="eastAsia" w:ascii="仿宋" w:hAnsi="仿宋" w:eastAsia="仿宋_GB2312" w:cs="仿宋"/>
          <w:sz w:val="36"/>
          <w:szCs w:val="36"/>
        </w:rPr>
        <w:t>、自然资源等部门应当统筹规划充电基础设施建设</w:t>
      </w:r>
      <w:bookmarkEnd w:id="0"/>
      <w:r>
        <w:rPr>
          <w:rFonts w:hint="eastAsia" w:ascii="仿宋" w:hAnsi="仿宋" w:eastAsia="仿宋_GB2312" w:cs="仿宋"/>
          <w:sz w:val="36"/>
          <w:szCs w:val="36"/>
        </w:rPr>
        <w:t>，制定、完善充电基础设施建设扶持政策。</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住房和城乡建设部门应当加强城市非机动车道建设，依法督促、协调、指导电动车停放场所及充电设施的建设。</w:t>
      </w:r>
    </w:p>
    <w:p>
      <w:pPr>
        <w:pStyle w:val="3"/>
        <w:spacing w:beforeAutospacing="0" w:afterAutospacing="0" w:line="640" w:lineRule="exact"/>
        <w:ind w:firstLine="720" w:firstLineChars="200"/>
        <w:rPr>
          <w:rFonts w:hint="default" w:ascii="仿宋" w:hAnsi="仿宋" w:eastAsia="仿宋_GB2312" w:cs="仿宋"/>
          <w:b w:val="0"/>
          <w:kern w:val="2"/>
          <w:sz w:val="36"/>
          <w:szCs w:val="36"/>
        </w:rPr>
      </w:pPr>
      <w:r>
        <w:rPr>
          <w:rFonts w:ascii="仿宋" w:hAnsi="仿宋" w:eastAsia="仿宋_GB2312" w:cs="仿宋"/>
          <w:b w:val="0"/>
          <w:kern w:val="2"/>
          <w:sz w:val="36"/>
          <w:szCs w:val="36"/>
        </w:rPr>
        <w:t>生态环境部门依法对处置电动车废旧蓄电池的污染环境防治工作进行监督管理。</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消防救援机构依法开展电动车消防安全日常监管工作，</w:t>
      </w:r>
      <w:r>
        <w:rPr>
          <w:rFonts w:hint="eastAsia" w:ascii="仿宋" w:hAnsi="仿宋" w:eastAsia="仿宋_GB2312" w:cs="仿宋"/>
          <w:spacing w:val="-6"/>
          <w:sz w:val="36"/>
          <w:szCs w:val="36"/>
        </w:rPr>
        <w:t>对违反消防安全管理规定的电动车停放、充电行为进行查处。</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其他有关部门按照各自职责做好电动车的相关监督管理工作。</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 xml:space="preserve">第七条 </w:t>
      </w:r>
      <w:r>
        <w:rPr>
          <w:rFonts w:hint="eastAsia" w:ascii="仿宋" w:hAnsi="仿宋" w:eastAsia="仿宋_GB2312" w:cs="仿宋"/>
          <w:b/>
          <w:sz w:val="36"/>
          <w:szCs w:val="36"/>
        </w:rPr>
        <w:t xml:space="preserve"> </w:t>
      </w:r>
      <w:r>
        <w:rPr>
          <w:rFonts w:hint="eastAsia" w:ascii="仿宋" w:hAnsi="仿宋" w:eastAsia="仿宋_GB2312" w:cs="仿宋"/>
          <w:sz w:val="36"/>
          <w:szCs w:val="36"/>
        </w:rPr>
        <w:t>电动车有关行业组织应当建立健全行业管理规范，加强行业自律，引导、督促会员单位依法从事电动车生产、销售等经营活动，促进电动车行业健康有序发展，并协助有关部门做好电动车管理工作。</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第八条</w:t>
      </w:r>
      <w:r>
        <w:rPr>
          <w:rFonts w:hint="eastAsia" w:ascii="仿宋" w:hAnsi="仿宋" w:eastAsia="仿宋_GB2312" w:cs="仿宋"/>
          <w:b/>
          <w:sz w:val="36"/>
          <w:szCs w:val="36"/>
        </w:rPr>
        <w:t xml:space="preserve">  </w:t>
      </w:r>
      <w:r>
        <w:rPr>
          <w:rFonts w:hint="eastAsia" w:ascii="仿宋" w:hAnsi="仿宋" w:eastAsia="仿宋_GB2312" w:cs="仿宋"/>
          <w:sz w:val="36"/>
          <w:szCs w:val="36"/>
        </w:rPr>
        <w:t>各级人民政府应当开展电动车道路交通安全、消防安全等方面法律、法规、规章的宣传教育，增强公众的安全意识。</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新闻媒体应当加强电动车通行、停放、充电等道路交通安全和消防安全知识的公益宣传和舆论监督。</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 xml:space="preserve">第九条 </w:t>
      </w:r>
      <w:r>
        <w:rPr>
          <w:rFonts w:hint="eastAsia" w:ascii="仿宋" w:hAnsi="仿宋" w:eastAsia="仿宋_GB2312" w:cs="仿宋"/>
          <w:b/>
          <w:sz w:val="36"/>
          <w:szCs w:val="36"/>
        </w:rPr>
        <w:t xml:space="preserve"> </w:t>
      </w:r>
      <w:r>
        <w:rPr>
          <w:rFonts w:hint="eastAsia" w:ascii="仿宋" w:hAnsi="仿宋" w:eastAsia="仿宋_GB2312" w:cs="仿宋"/>
          <w:sz w:val="36"/>
          <w:szCs w:val="36"/>
        </w:rPr>
        <w:t>电动车生产者生产的电动车应当符合强制性国家标准。</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电动自行车生产者应当按照国家有关规定，委托国家指定的认证机构进行强制性产品认证。</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电动摩托车、低速电动车生产者及产品应当列入工业和信息化部公布的《道路机动车辆生产企业及产品公告》（以下统称《公告》）。</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第十条</w:t>
      </w:r>
      <w:r>
        <w:rPr>
          <w:rFonts w:hint="eastAsia" w:ascii="仿宋" w:hAnsi="仿宋" w:eastAsia="仿宋_GB2312" w:cs="仿宋"/>
          <w:b/>
          <w:sz w:val="36"/>
          <w:szCs w:val="36"/>
        </w:rPr>
        <w:t xml:space="preserve">  </w:t>
      </w:r>
      <w:r>
        <w:rPr>
          <w:rFonts w:hint="eastAsia" w:ascii="仿宋" w:hAnsi="仿宋" w:eastAsia="仿宋_GB2312" w:cs="仿宋"/>
          <w:sz w:val="36"/>
          <w:szCs w:val="36"/>
        </w:rPr>
        <w:t>电动车销售者应当建立并执行进货检查验收制度，建立进货、销售台账；不得销售未获得强制性产品认证的电动自行车，以及未列入《公告》的电动摩托车、低速电动车。</w:t>
      </w:r>
    </w:p>
    <w:p>
      <w:pPr>
        <w:pStyle w:val="3"/>
        <w:spacing w:beforeAutospacing="0" w:afterAutospacing="0" w:line="640" w:lineRule="exact"/>
        <w:ind w:firstLine="744" w:firstLineChars="200"/>
        <w:jc w:val="both"/>
        <w:rPr>
          <w:rFonts w:hint="default" w:ascii="仿宋" w:hAnsi="仿宋" w:eastAsia="仿宋_GB2312" w:cs="仿宋"/>
          <w:b w:val="0"/>
          <w:kern w:val="2"/>
          <w:sz w:val="36"/>
          <w:szCs w:val="36"/>
        </w:rPr>
      </w:pPr>
      <w:r>
        <w:rPr>
          <w:rFonts w:ascii="仿宋" w:hAnsi="仿宋" w:eastAsia="仿宋_GB2312" w:cs="仿宋"/>
          <w:b w:val="0"/>
          <w:spacing w:val="6"/>
          <w:kern w:val="2"/>
          <w:sz w:val="36"/>
          <w:szCs w:val="36"/>
        </w:rPr>
        <w:t>电动车销售者应当向消费者提供购车发票与车辆合格证。</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违反前两款规定造成购买的电动车无法登记的，消费者可以依法要求退货或者更换。</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第十一条</w:t>
      </w:r>
      <w:r>
        <w:rPr>
          <w:rFonts w:hint="eastAsia" w:ascii="仿宋" w:hAnsi="仿宋" w:eastAsia="仿宋_GB2312" w:cs="仿宋"/>
          <w:b/>
          <w:sz w:val="36"/>
          <w:szCs w:val="36"/>
        </w:rPr>
        <w:t xml:space="preserve">  </w:t>
      </w:r>
      <w:r>
        <w:rPr>
          <w:rFonts w:hint="eastAsia" w:ascii="仿宋" w:hAnsi="仿宋" w:eastAsia="仿宋_GB2312" w:cs="仿宋"/>
          <w:sz w:val="36"/>
          <w:szCs w:val="36"/>
        </w:rPr>
        <w:t>任何单位和个人不得有下列行为：</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（一）拼装电动车的;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（二）在电动车上加装座位、伞具、车篷（厢）、高分贝音响、高强度照明装置的;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（三）改变电动车的尺寸，更换不符合出厂额定电压的蓄电池或者更换不符合出厂额定功率的电动机等动力装置的;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（四）拆除或者改动电动车的车速提示音、限速装置、脚踏骑行设备的;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（五）改变电动车整车编码的；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（六）其他改动影响电动车安全性能的；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（七）销售本条第（一）项、第（二）项或者非法改装的电动车的。</w:t>
      </w:r>
    </w:p>
    <w:p>
      <w:pPr>
        <w:spacing w:line="640" w:lineRule="exact"/>
        <w:rPr>
          <w:rFonts w:ascii="仿宋" w:hAnsi="仿宋" w:eastAsia="仿宋_GB2312" w:cs="仿宋"/>
          <w:sz w:val="36"/>
          <w:szCs w:val="36"/>
        </w:rPr>
      </w:pPr>
      <w:r>
        <w:rPr>
          <w:rFonts w:hint="eastAsia" w:ascii="仿宋" w:hAnsi="仿宋" w:eastAsia="仿宋_GB2312" w:cs="仿宋"/>
          <w:sz w:val="36"/>
          <w:szCs w:val="36"/>
        </w:rPr>
        <w:t>　　</w:t>
      </w:r>
      <w:r>
        <w:rPr>
          <w:rFonts w:hint="eastAsia" w:ascii="黑体" w:hAnsi="黑体" w:eastAsia="黑体" w:cs="黑体"/>
          <w:sz w:val="36"/>
          <w:szCs w:val="36"/>
        </w:rPr>
        <w:t>第十二条</w:t>
      </w:r>
      <w:r>
        <w:rPr>
          <w:rFonts w:hint="eastAsia" w:ascii="仿宋" w:hAnsi="仿宋" w:eastAsia="仿宋_GB2312" w:cs="仿宋"/>
          <w:b/>
          <w:sz w:val="36"/>
          <w:szCs w:val="36"/>
        </w:rPr>
        <w:t xml:space="preserve">  </w:t>
      </w:r>
      <w:r>
        <w:rPr>
          <w:rFonts w:hint="eastAsia" w:ascii="仿宋" w:hAnsi="仿宋" w:eastAsia="仿宋_GB2312" w:cs="仿宋"/>
          <w:sz w:val="36"/>
          <w:szCs w:val="36"/>
        </w:rPr>
        <w:t>电动车经设区的市、县（市）人民政府公安机关交通管理部门登记后，方可上道路行驶。</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电动自行车所有人应当在购买车辆后三十日内申请办理非机动车登记；登记前临时上道路行驶的，应当携带购车发票和合格证书。办理电动自行车登记，不收取费用。</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电动摩托车、低速电动车所有人应当按照有关法律、法规、规章的规定，申请办理机动车登记。</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省人民政府公安机关交通管理部门应当建立电动车登记管理信息系统，提高信息化管理水平。</w:t>
      </w:r>
    </w:p>
    <w:p>
      <w:pPr>
        <w:spacing w:line="640" w:lineRule="exact"/>
        <w:rPr>
          <w:rFonts w:ascii="仿宋" w:hAnsi="仿宋" w:eastAsia="仿宋_GB2312" w:cs="仿宋"/>
          <w:sz w:val="36"/>
          <w:szCs w:val="36"/>
        </w:rPr>
      </w:pPr>
      <w:r>
        <w:rPr>
          <w:rFonts w:hint="eastAsia" w:ascii="仿宋" w:hAnsi="仿宋" w:eastAsia="仿宋_GB2312" w:cs="仿宋"/>
          <w:sz w:val="36"/>
          <w:szCs w:val="36"/>
        </w:rPr>
        <w:t>　　</w:t>
      </w:r>
      <w:r>
        <w:rPr>
          <w:rFonts w:hint="eastAsia" w:ascii="黑体" w:hAnsi="黑体" w:eastAsia="黑体" w:cs="黑体"/>
          <w:sz w:val="36"/>
          <w:szCs w:val="36"/>
        </w:rPr>
        <w:t>第十三条</w:t>
      </w:r>
      <w:r>
        <w:rPr>
          <w:rFonts w:hint="eastAsia" w:ascii="仿宋" w:hAnsi="仿宋" w:eastAsia="仿宋_GB2312" w:cs="仿宋"/>
          <w:b/>
          <w:sz w:val="36"/>
          <w:szCs w:val="36"/>
        </w:rPr>
        <w:t xml:space="preserve">  </w:t>
      </w:r>
      <w:r>
        <w:rPr>
          <w:rFonts w:hint="eastAsia" w:ascii="仿宋" w:hAnsi="仿宋" w:eastAsia="仿宋_GB2312" w:cs="仿宋"/>
          <w:sz w:val="36"/>
          <w:szCs w:val="36"/>
        </w:rPr>
        <w:t>设区的市、县（市）人民政府公安机关交通管理部门应当将电动车登记的事项、条件、依据、程序、时限以及收费标准、需要提交的材料目录和申请表示范文本等在办公场所公示，推行一次办结、限时办结等制度，并通过合理设置登记办理站点和推行带牌销售等方式，为办理电动车登记提供便利高效的服务。</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第十四条</w:t>
      </w:r>
      <w:r>
        <w:rPr>
          <w:rFonts w:hint="eastAsia" w:ascii="仿宋" w:hAnsi="仿宋" w:eastAsia="仿宋_GB2312" w:cs="仿宋"/>
          <w:b/>
          <w:sz w:val="36"/>
          <w:szCs w:val="36"/>
        </w:rPr>
        <w:t xml:space="preserve">  </w:t>
      </w:r>
      <w:r>
        <w:rPr>
          <w:rFonts w:hint="eastAsia" w:ascii="仿宋" w:hAnsi="仿宋" w:eastAsia="仿宋_GB2312" w:cs="仿宋"/>
          <w:sz w:val="36"/>
          <w:szCs w:val="36"/>
        </w:rPr>
        <w:t>驾驶电动自行车上道路行驶，应当遵守下列规定：</w:t>
      </w:r>
    </w:p>
    <w:p>
      <w:pPr>
        <w:spacing w:line="640" w:lineRule="exact"/>
        <w:rPr>
          <w:rFonts w:ascii="仿宋" w:hAnsi="仿宋" w:eastAsia="仿宋_GB2312" w:cs="仿宋"/>
          <w:spacing w:val="-6"/>
          <w:sz w:val="36"/>
          <w:szCs w:val="36"/>
        </w:rPr>
      </w:pPr>
      <w:r>
        <w:rPr>
          <w:rFonts w:hint="eastAsia" w:ascii="仿宋" w:hAnsi="仿宋" w:eastAsia="仿宋_GB2312" w:cs="仿宋"/>
          <w:sz w:val="36"/>
          <w:szCs w:val="36"/>
        </w:rPr>
        <w:t xml:space="preserve">    （一）</w:t>
      </w:r>
      <w:r>
        <w:rPr>
          <w:rFonts w:hint="eastAsia" w:ascii="仿宋" w:hAnsi="仿宋" w:eastAsia="仿宋_GB2312" w:cs="仿宋"/>
          <w:spacing w:val="-6"/>
          <w:sz w:val="36"/>
          <w:szCs w:val="36"/>
        </w:rPr>
        <w:t>驾驶人和乘坐人员佩戴符合国家规定的安全头盔；</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（二）使用符合国家规定的儿童安全座椅搭载儿童；</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（三）不得牵引动物、手持物品或者浏览电子设备；</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（四）不得驾驶拼装、非法加装、非法改装的电动自行车；</w:t>
      </w:r>
    </w:p>
    <w:p>
      <w:pPr>
        <w:spacing w:line="640" w:lineRule="exact"/>
        <w:ind w:firstLine="722"/>
        <w:rPr>
          <w:rFonts w:ascii="仿宋" w:hAnsi="仿宋" w:eastAsia="仿宋_GB2312" w:cs="仿宋"/>
          <w:sz w:val="36"/>
          <w:szCs w:val="36"/>
          <w:shd w:val="clear" w:color="FFFFFF" w:fill="D9D9D9"/>
        </w:rPr>
      </w:pPr>
      <w:r>
        <w:rPr>
          <w:rFonts w:hint="eastAsia" w:ascii="仿宋" w:hAnsi="仿宋" w:eastAsia="仿宋_GB2312" w:cs="仿宋"/>
          <w:sz w:val="36"/>
          <w:szCs w:val="36"/>
        </w:rPr>
        <w:t>（五）按照规定悬挂号牌，不得使用伪造、变造的电动自行车号牌以及其他车辆的号牌；</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（六）不得超速行驶、逆向行驶、违反交通信号灯指示通行；</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（七）不得进入城市快速路、高架路、专供机动车通行的立交桥或者其他机动车专用道路；</w:t>
      </w:r>
    </w:p>
    <w:p>
      <w:pPr>
        <w:pStyle w:val="3"/>
        <w:spacing w:beforeAutospacing="0" w:afterAutospacing="0" w:line="640" w:lineRule="exact"/>
        <w:ind w:firstLine="720" w:firstLineChars="200"/>
        <w:rPr>
          <w:rFonts w:hint="default" w:ascii="仿宋" w:hAnsi="仿宋" w:eastAsia="仿宋_GB2312" w:cs="仿宋"/>
          <w:b w:val="0"/>
          <w:spacing w:val="-6"/>
          <w:kern w:val="2"/>
          <w:sz w:val="36"/>
          <w:szCs w:val="36"/>
        </w:rPr>
      </w:pPr>
      <w:r>
        <w:rPr>
          <w:rFonts w:ascii="仿宋" w:hAnsi="仿宋" w:eastAsia="仿宋_GB2312" w:cs="仿宋"/>
          <w:b w:val="0"/>
          <w:kern w:val="2"/>
          <w:sz w:val="36"/>
          <w:szCs w:val="36"/>
        </w:rPr>
        <w:t>（八）</w:t>
      </w:r>
      <w:r>
        <w:rPr>
          <w:rFonts w:ascii="仿宋" w:hAnsi="仿宋" w:eastAsia="仿宋_GB2312" w:cs="仿宋"/>
          <w:b w:val="0"/>
          <w:spacing w:val="-6"/>
          <w:kern w:val="2"/>
          <w:sz w:val="36"/>
          <w:szCs w:val="36"/>
        </w:rPr>
        <w:t>法律、法规、规章关于非机动车通行的其他规定。</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驾驶电动摩托车、低速电动车上道路行驶，应当遵守法律、法规、规章关于机动车通行的规定。</w:t>
      </w:r>
    </w:p>
    <w:p>
      <w:pPr>
        <w:pStyle w:val="3"/>
        <w:spacing w:beforeAutospacing="0" w:afterAutospacing="0" w:line="640" w:lineRule="exact"/>
        <w:ind w:firstLine="720" w:firstLineChars="200"/>
        <w:rPr>
          <w:rFonts w:hint="default" w:ascii="仿宋" w:hAnsi="仿宋" w:eastAsia="仿宋_GB2312" w:cs="仿宋"/>
          <w:b w:val="0"/>
          <w:kern w:val="2"/>
          <w:sz w:val="36"/>
          <w:szCs w:val="36"/>
        </w:rPr>
      </w:pPr>
      <w:r>
        <w:rPr>
          <w:rFonts w:ascii="仿宋" w:hAnsi="仿宋" w:eastAsia="仿宋_GB2312" w:cs="仿宋"/>
          <w:b w:val="0"/>
          <w:kern w:val="2"/>
          <w:sz w:val="36"/>
          <w:szCs w:val="36"/>
        </w:rPr>
        <w:t>未成年人不得驾驶电动摩托车、低速电动车，不满</w:t>
      </w:r>
      <w:r>
        <w:rPr>
          <w:rFonts w:ascii="Times New Roman" w:hAnsi="Times New Roman" w:eastAsia="仿宋_GB2312" w:cs="仿宋"/>
          <w:b w:val="0"/>
          <w:kern w:val="2"/>
          <w:sz w:val="36"/>
          <w:szCs w:val="36"/>
        </w:rPr>
        <w:t>16</w:t>
      </w:r>
      <w:r>
        <w:rPr>
          <w:rFonts w:ascii="仿宋" w:hAnsi="仿宋" w:eastAsia="仿宋_GB2312" w:cs="仿宋"/>
          <w:b w:val="0"/>
          <w:kern w:val="2"/>
          <w:sz w:val="36"/>
          <w:szCs w:val="36"/>
        </w:rPr>
        <w:t>周岁的未成年人不得驾驶电动自行车。</w:t>
      </w:r>
    </w:p>
    <w:p>
      <w:pPr>
        <w:spacing w:line="640" w:lineRule="exact"/>
        <w:rPr>
          <w:rFonts w:ascii="仿宋" w:hAnsi="仿宋" w:eastAsia="仿宋_GB2312" w:cs="仿宋"/>
          <w:sz w:val="36"/>
          <w:szCs w:val="36"/>
        </w:rPr>
      </w:pPr>
      <w:r>
        <w:rPr>
          <w:rFonts w:hint="eastAsia" w:ascii="仿宋" w:hAnsi="仿宋" w:eastAsia="仿宋_GB2312" w:cs="仿宋"/>
          <w:sz w:val="36"/>
          <w:szCs w:val="36"/>
        </w:rPr>
        <w:t>　　</w:t>
      </w:r>
      <w:r>
        <w:rPr>
          <w:rFonts w:hint="eastAsia" w:ascii="黑体" w:hAnsi="黑体" w:eastAsia="黑体" w:cs="黑体"/>
          <w:sz w:val="36"/>
          <w:szCs w:val="36"/>
        </w:rPr>
        <w:t>第十五条</w:t>
      </w:r>
      <w:r>
        <w:rPr>
          <w:rFonts w:hint="eastAsia" w:ascii="仿宋" w:hAnsi="仿宋" w:eastAsia="仿宋_GB2312" w:cs="仿宋"/>
          <w:b/>
          <w:sz w:val="36"/>
          <w:szCs w:val="36"/>
        </w:rPr>
        <w:t xml:space="preserve">  </w:t>
      </w:r>
      <w:r>
        <w:rPr>
          <w:rFonts w:hint="eastAsia" w:ascii="仿宋" w:hAnsi="仿宋" w:eastAsia="仿宋_GB2312" w:cs="仿宋"/>
          <w:sz w:val="36"/>
          <w:szCs w:val="36"/>
        </w:rPr>
        <w:t>鼓励商业保险企业推出符合电动车特点的第三者责任保险、驾驶人员意外伤害保险等保险产品。</w:t>
      </w:r>
    </w:p>
    <w:p>
      <w:pPr>
        <w:spacing w:line="640" w:lineRule="exact"/>
        <w:ind w:firstLine="720" w:firstLineChars="200"/>
        <w:rPr>
          <w:rFonts w:ascii="仿宋" w:hAnsi="仿宋" w:eastAsia="仿宋_GB2312" w:cs="仿宋"/>
          <w:sz w:val="36"/>
          <w:szCs w:val="36"/>
        </w:rPr>
      </w:pPr>
      <w:r>
        <w:rPr>
          <w:rFonts w:hint="eastAsia" w:ascii="仿宋" w:hAnsi="仿宋" w:eastAsia="仿宋_GB2312" w:cs="仿宋"/>
          <w:sz w:val="36"/>
          <w:szCs w:val="36"/>
        </w:rPr>
        <w:t>鼓励电动车所有人投保第三者责任保险、驾驶人员意外伤害保险。</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第十六条</w:t>
      </w:r>
      <w:r>
        <w:rPr>
          <w:rFonts w:hint="eastAsia" w:ascii="仿宋" w:hAnsi="仿宋" w:eastAsia="仿宋_GB2312" w:cs="仿宋"/>
          <w:b/>
          <w:sz w:val="36"/>
          <w:szCs w:val="36"/>
        </w:rPr>
        <w:t xml:space="preserve">  </w:t>
      </w:r>
      <w:bookmarkStart w:id="1" w:name="_Hlk122461792"/>
      <w:r>
        <w:rPr>
          <w:rFonts w:hint="eastAsia" w:ascii="仿宋" w:hAnsi="仿宋" w:eastAsia="仿宋_GB2312" w:cs="仿宋"/>
          <w:sz w:val="36"/>
          <w:szCs w:val="36"/>
        </w:rPr>
        <w:t>设区的市、县（市）人民政府应当组织有关部门合理利用道路资源，科学分配车辆路权，将设置非机动车道纳入道路建设整体规划并组织实施，优化电动自行车通行条件。</w:t>
      </w:r>
      <w:bookmarkEnd w:id="1"/>
    </w:p>
    <w:p>
      <w:pPr>
        <w:pStyle w:val="7"/>
        <w:spacing w:after="0" w:line="640" w:lineRule="exact"/>
        <w:ind w:firstLine="720" w:firstLineChars="200"/>
        <w:jc w:val="both"/>
        <w:rPr>
          <w:rFonts w:ascii="仿宋" w:hAnsi="仿宋" w:eastAsia="仿宋_GB2312" w:cs="仿宋"/>
          <w:sz w:val="36"/>
          <w:szCs w:val="36"/>
        </w:rPr>
      </w:pPr>
      <w:r>
        <w:rPr>
          <w:rFonts w:hint="eastAsia" w:ascii="仿宋" w:hAnsi="仿宋" w:eastAsia="仿宋_GB2312" w:cs="仿宋"/>
          <w:sz w:val="36"/>
          <w:szCs w:val="36"/>
        </w:rPr>
        <w:t>新建、改建、扩建城市道路，应当按照国家有关规定设置非机动车道。现有城市道路应当合理增设非机动车道。</w:t>
      </w:r>
    </w:p>
    <w:p>
      <w:pPr>
        <w:pStyle w:val="3"/>
        <w:spacing w:beforeAutospacing="0" w:afterAutospacing="0" w:line="640" w:lineRule="exact"/>
        <w:rPr>
          <w:rFonts w:hint="default" w:ascii="仿宋" w:hAnsi="仿宋" w:eastAsia="仿宋_GB2312" w:cs="仿宋"/>
          <w:b w:val="0"/>
          <w:kern w:val="2"/>
          <w:sz w:val="36"/>
          <w:szCs w:val="36"/>
        </w:rPr>
      </w:pPr>
      <w:r>
        <w:rPr>
          <w:rFonts w:ascii="仿宋" w:hAnsi="仿宋" w:eastAsia="仿宋_GB2312" w:cs="仿宋"/>
          <w:sz w:val="36"/>
          <w:szCs w:val="36"/>
        </w:rPr>
        <w:t xml:space="preserve">    </w:t>
      </w:r>
      <w:r>
        <w:rPr>
          <w:rFonts w:ascii="仿宋" w:hAnsi="仿宋" w:eastAsia="仿宋_GB2312" w:cs="仿宋"/>
          <w:b w:val="0"/>
          <w:kern w:val="2"/>
          <w:sz w:val="36"/>
          <w:szCs w:val="36"/>
        </w:rPr>
        <w:t>非机动车道与机动车道之间应当设置隔离警示标志。</w:t>
      </w:r>
    </w:p>
    <w:p>
      <w:pPr>
        <w:spacing w:line="640" w:lineRule="exact"/>
        <w:ind w:firstLine="720" w:firstLineChars="200"/>
        <w:rPr>
          <w:rFonts w:ascii="仿宋" w:hAnsi="仿宋" w:eastAsia="仿宋_GB2312" w:cs="仿宋"/>
          <w:sz w:val="36"/>
          <w:szCs w:val="36"/>
        </w:rPr>
      </w:pPr>
      <w:r>
        <w:rPr>
          <w:rFonts w:hint="eastAsia" w:ascii="黑体" w:hAnsi="黑体" w:eastAsia="黑体" w:cs="黑体"/>
          <w:sz w:val="36"/>
          <w:szCs w:val="36"/>
        </w:rPr>
        <w:t>第十七条</w:t>
      </w:r>
      <w:r>
        <w:rPr>
          <w:rFonts w:hint="eastAsia" w:ascii="仿宋" w:hAnsi="仿宋" w:eastAsia="仿宋_GB2312" w:cs="仿宋"/>
          <w:b/>
          <w:sz w:val="36"/>
          <w:szCs w:val="36"/>
        </w:rPr>
        <w:t xml:space="preserve">  </w:t>
      </w:r>
      <w:r>
        <w:rPr>
          <w:rFonts w:hint="eastAsia" w:ascii="仿宋" w:hAnsi="仿宋" w:eastAsia="仿宋_GB2312" w:cs="仿宋"/>
          <w:sz w:val="36"/>
          <w:szCs w:val="36"/>
        </w:rPr>
        <w:t>设区的市、县（市）人民政府及其有关部门应当将电动车停放地点的设置纳入城市道路相关建设规划和住宅小区、单位建设规划，并在交通枢纽、商业集中区、娱乐文化场所等电动车停车需求较大的区域设置电动车停放地点，规范电动车停放秩序。</w:t>
      </w:r>
    </w:p>
    <w:p>
      <w:pPr>
        <w:spacing w:line="640" w:lineRule="exact"/>
        <w:rPr>
          <w:rFonts w:ascii="仿宋" w:hAnsi="仿宋" w:eastAsia="仿宋_GB2312" w:cs="仿宋"/>
          <w:sz w:val="36"/>
          <w:szCs w:val="36"/>
        </w:rPr>
      </w:pPr>
      <w:r>
        <w:rPr>
          <w:rFonts w:hint="eastAsia" w:ascii="仿宋" w:hAnsi="仿宋" w:eastAsia="仿宋_GB2312" w:cs="仿宋"/>
          <w:sz w:val="36"/>
          <w:szCs w:val="36"/>
        </w:rPr>
        <w:t>　　电动车应当在规定地点有序停放；未设置停放地点或者在道路上临时停车的，不得妨碍其他车辆和行人通行。</w:t>
      </w:r>
    </w:p>
    <w:p>
      <w:pPr>
        <w:spacing w:line="640" w:lineRule="exact"/>
        <w:rPr>
          <w:rFonts w:ascii="仿宋" w:hAnsi="仿宋" w:eastAsia="仿宋_GB2312" w:cs="仿宋"/>
          <w:sz w:val="36"/>
          <w:szCs w:val="36"/>
        </w:rPr>
      </w:pPr>
      <w:r>
        <w:rPr>
          <w:rFonts w:hint="eastAsia" w:ascii="仿宋" w:hAnsi="仿宋" w:eastAsia="仿宋_GB2312" w:cs="仿宋"/>
          <w:sz w:val="36"/>
          <w:szCs w:val="36"/>
        </w:rPr>
        <w:t>　　</w:t>
      </w:r>
      <w:r>
        <w:rPr>
          <w:rFonts w:hint="eastAsia" w:ascii="黑体" w:hAnsi="黑体" w:eastAsia="黑体" w:cs="黑体"/>
          <w:sz w:val="36"/>
          <w:szCs w:val="36"/>
        </w:rPr>
        <w:t>第十八条</w:t>
      </w:r>
      <w:r>
        <w:rPr>
          <w:rFonts w:hint="eastAsia" w:ascii="仿宋" w:hAnsi="仿宋" w:eastAsia="仿宋_GB2312" w:cs="仿宋"/>
          <w:b/>
          <w:sz w:val="36"/>
          <w:szCs w:val="36"/>
        </w:rPr>
        <w:t xml:space="preserve">  </w:t>
      </w:r>
      <w:r>
        <w:rPr>
          <w:rFonts w:hint="eastAsia" w:ascii="仿宋" w:hAnsi="仿宋" w:eastAsia="仿宋_GB2312" w:cs="仿宋"/>
          <w:sz w:val="36"/>
          <w:szCs w:val="36"/>
        </w:rPr>
        <w:t>设区的市、县（市）级人民政府及其有关部门应当加强电动车充电设施建设，满足电动车充电需求；对已建成的住宅小区以及小区地下停车位，应当加大投入力度，推动电动车充电设施建设。</w:t>
      </w:r>
    </w:p>
    <w:p>
      <w:pPr>
        <w:spacing w:line="640" w:lineRule="exact"/>
        <w:ind w:firstLine="720"/>
        <w:rPr>
          <w:rFonts w:ascii="仿宋" w:hAnsi="仿宋" w:eastAsia="仿宋_GB2312" w:cs="仿宋"/>
          <w:sz w:val="36"/>
          <w:szCs w:val="36"/>
        </w:rPr>
      </w:pPr>
      <w:r>
        <w:rPr>
          <w:rFonts w:hint="eastAsia" w:ascii="仿宋" w:hAnsi="仿宋" w:eastAsia="仿宋_GB2312" w:cs="仿宋"/>
          <w:sz w:val="36"/>
          <w:szCs w:val="36"/>
        </w:rPr>
        <w:t>新建、改建、扩建住宅小区以及小区地下停车位，应当按照有关标准规划并配套建设电动车充电设施。</w:t>
      </w:r>
    </w:p>
    <w:p>
      <w:pPr>
        <w:pStyle w:val="3"/>
        <w:spacing w:beforeAutospacing="0" w:afterAutospacing="0" w:line="640" w:lineRule="exact"/>
        <w:ind w:firstLine="720"/>
        <w:rPr>
          <w:rFonts w:hint="default" w:ascii="仿宋" w:hAnsi="仿宋" w:eastAsia="仿宋_GB2312" w:cs="仿宋"/>
          <w:sz w:val="36"/>
          <w:szCs w:val="36"/>
        </w:rPr>
      </w:pPr>
      <w:r>
        <w:rPr>
          <w:rFonts w:ascii="仿宋" w:hAnsi="仿宋" w:eastAsia="仿宋_GB2312" w:cs="仿宋"/>
          <w:b w:val="0"/>
          <w:kern w:val="2"/>
          <w:sz w:val="36"/>
          <w:szCs w:val="36"/>
        </w:rPr>
        <w:t>电网经营企业应当加大配套电网建设投入，合理预留高压、大功率充电保障能力。居民住宅小区和执行居民电价的非居民用户中设置的充电设施用电，执行居民生活用电价格。国家另有规定的，从其规定。</w:t>
      </w:r>
    </w:p>
    <w:p>
      <w:pPr>
        <w:spacing w:line="640" w:lineRule="exact"/>
        <w:ind w:firstLine="720"/>
        <w:rPr>
          <w:rFonts w:ascii="仿宋" w:hAnsi="仿宋" w:eastAsia="仿宋_GB2312" w:cs="仿宋"/>
          <w:sz w:val="36"/>
          <w:szCs w:val="36"/>
        </w:rPr>
      </w:pPr>
      <w:r>
        <w:rPr>
          <w:rFonts w:hint="eastAsia" w:ascii="黑体" w:hAnsi="黑体" w:eastAsia="黑体" w:cs="黑体"/>
          <w:sz w:val="36"/>
          <w:szCs w:val="36"/>
        </w:rPr>
        <w:t>第十九条</w:t>
      </w:r>
      <w:r>
        <w:rPr>
          <w:rFonts w:hint="eastAsia" w:ascii="仿宋" w:hAnsi="仿宋" w:eastAsia="仿宋_GB2312" w:cs="仿宋"/>
          <w:sz w:val="36"/>
          <w:szCs w:val="36"/>
        </w:rPr>
        <w:t xml:space="preserve">  鼓励国家机关、企业事业单位、社会组织在本单位新建、改建、扩建电动车充电设施。</w:t>
      </w:r>
    </w:p>
    <w:p>
      <w:pPr>
        <w:pStyle w:val="3"/>
        <w:spacing w:beforeAutospacing="0" w:afterAutospacing="0" w:line="640" w:lineRule="exact"/>
        <w:ind w:firstLine="720" w:firstLineChars="200"/>
        <w:rPr>
          <w:rFonts w:hint="default" w:ascii="仿宋" w:hAnsi="仿宋" w:eastAsia="仿宋_GB2312" w:cs="仿宋"/>
          <w:b w:val="0"/>
          <w:kern w:val="2"/>
          <w:sz w:val="36"/>
          <w:szCs w:val="36"/>
        </w:rPr>
      </w:pPr>
      <w:r>
        <w:rPr>
          <w:rFonts w:ascii="仿宋" w:hAnsi="仿宋" w:eastAsia="仿宋_GB2312" w:cs="仿宋"/>
          <w:b w:val="0"/>
          <w:kern w:val="2"/>
          <w:sz w:val="36"/>
          <w:szCs w:val="36"/>
        </w:rPr>
        <w:t>鼓励充电运营企业或者物业服务人接受业主委托，统一提供充电设施建设、运营与维护等有偿服务，提高充电设施安全管理水平。</w:t>
      </w:r>
    </w:p>
    <w:p>
      <w:pPr>
        <w:spacing w:line="640" w:lineRule="exact"/>
        <w:ind w:firstLine="720" w:firstLineChars="200"/>
        <w:rPr>
          <w:rFonts w:ascii="仿宋" w:hAnsi="仿宋" w:eastAsia="仿宋_GB2312" w:cs="仿宋"/>
          <w:sz w:val="36"/>
          <w:szCs w:val="36"/>
        </w:rPr>
      </w:pPr>
      <w:r>
        <w:rPr>
          <w:rFonts w:hint="eastAsia" w:ascii="黑体" w:hAnsi="黑体" w:eastAsia="黑体" w:cs="黑体"/>
          <w:sz w:val="36"/>
          <w:szCs w:val="36"/>
        </w:rPr>
        <w:t>第二十条</w:t>
      </w:r>
      <w:r>
        <w:rPr>
          <w:rFonts w:hint="eastAsia" w:ascii="仿宋" w:hAnsi="仿宋" w:eastAsia="仿宋_GB2312" w:cs="仿宋"/>
          <w:sz w:val="36"/>
          <w:szCs w:val="36"/>
        </w:rPr>
        <w:t xml:space="preserve">  电动车停放、充电应当遵守消防安全规定，禁止在建筑物公共门厅、共用走廊、楼梯间、疏散通道、安全出口等公共区域，消防车通道及其两侧影响通行的区域，国家规定禁止电动车停放、充电的室内区域停放、充电；禁止违反用电要求私拉电线和插座为电动车充电。</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对违反前款规定的停放、充电行为，物业服务人、业主委员会或者物业管理委员会、业主或者物业使用人有权劝阻、制止；劝阻、制止无效的，应当及时报告</w:t>
      </w:r>
      <w:r>
        <w:rPr>
          <w:rStyle w:val="16"/>
          <w:rFonts w:hint="eastAsia" w:ascii="仿宋" w:hAnsi="仿宋" w:eastAsia="仿宋_GB2312" w:cs="仿宋"/>
          <w:sz w:val="36"/>
          <w:szCs w:val="36"/>
        </w:rPr>
        <w:t>消防救援机构</w:t>
      </w:r>
      <w:r>
        <w:rPr>
          <w:rFonts w:hint="eastAsia" w:ascii="仿宋" w:hAnsi="仿宋" w:eastAsia="仿宋_GB2312" w:cs="仿宋"/>
          <w:sz w:val="36"/>
          <w:szCs w:val="36"/>
        </w:rPr>
        <w:t>依法处理。</w:t>
      </w:r>
    </w:p>
    <w:p>
      <w:pPr>
        <w:spacing w:line="640" w:lineRule="exact"/>
        <w:rPr>
          <w:rFonts w:ascii="仿宋" w:hAnsi="仿宋" w:eastAsia="仿宋_GB2312" w:cs="仿宋"/>
          <w:sz w:val="36"/>
          <w:szCs w:val="36"/>
        </w:rPr>
      </w:pPr>
      <w:r>
        <w:rPr>
          <w:rFonts w:hint="eastAsia" w:ascii="仿宋" w:hAnsi="仿宋" w:eastAsia="仿宋_GB2312" w:cs="仿宋"/>
          <w:sz w:val="36"/>
          <w:szCs w:val="36"/>
        </w:rPr>
        <w:t>　　</w:t>
      </w:r>
      <w:r>
        <w:rPr>
          <w:rFonts w:hint="eastAsia" w:ascii="黑体" w:hAnsi="黑体" w:eastAsia="黑体" w:cs="黑体"/>
          <w:sz w:val="36"/>
          <w:szCs w:val="36"/>
        </w:rPr>
        <w:t>第二十一条</w:t>
      </w:r>
      <w:r>
        <w:rPr>
          <w:rFonts w:hint="eastAsia" w:ascii="仿宋" w:hAnsi="仿宋" w:eastAsia="仿宋_GB2312" w:cs="仿宋"/>
          <w:b/>
          <w:sz w:val="36"/>
          <w:szCs w:val="36"/>
        </w:rPr>
        <w:t xml:space="preserve">  </w:t>
      </w:r>
      <w:r>
        <w:rPr>
          <w:rFonts w:hint="eastAsia" w:ascii="仿宋" w:hAnsi="仿宋" w:eastAsia="仿宋_GB2312" w:cs="仿宋"/>
          <w:sz w:val="36"/>
          <w:szCs w:val="36"/>
        </w:rPr>
        <w:t>电动车所有人应当将属于危险废物的电动车废旧电池交售给具有危险废物回收资质的单位，不得随意丢弃。</w:t>
      </w:r>
    </w:p>
    <w:p>
      <w:pPr>
        <w:spacing w:line="640" w:lineRule="exact"/>
        <w:rPr>
          <w:rFonts w:ascii="仿宋" w:hAnsi="仿宋" w:eastAsia="仿宋_GB2312" w:cs="仿宋"/>
          <w:sz w:val="36"/>
          <w:szCs w:val="36"/>
        </w:rPr>
      </w:pPr>
      <w:r>
        <w:rPr>
          <w:rFonts w:hint="eastAsia" w:ascii="仿宋" w:hAnsi="仿宋" w:eastAsia="仿宋_GB2312" w:cs="仿宋"/>
          <w:sz w:val="36"/>
          <w:szCs w:val="36"/>
        </w:rPr>
        <w:t>　　电动车的生产者、销售者、维修者可以采取以旧换新等方式回收电动车废旧电池，交售给具有危险废物处置资质的单位处置。</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 xml:space="preserve"> 第二十二条</w:t>
      </w:r>
      <w:r>
        <w:rPr>
          <w:rFonts w:hint="eastAsia" w:ascii="仿宋" w:hAnsi="仿宋" w:eastAsia="仿宋_GB2312" w:cs="仿宋"/>
          <w:b/>
          <w:sz w:val="36"/>
          <w:szCs w:val="36"/>
        </w:rPr>
        <w:t xml:space="preserve">  </w:t>
      </w:r>
      <w:r>
        <w:rPr>
          <w:rFonts w:hint="eastAsia" w:ascii="仿宋" w:hAnsi="仿宋" w:eastAsia="仿宋_GB2312" w:cs="仿宋"/>
          <w:sz w:val="36"/>
          <w:szCs w:val="36"/>
        </w:rPr>
        <w:t>使用电动车从事快递、外卖等经营活动的单位应当落实安全生产责任，并遵守下列规定：</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（一）建立健全车辆、驾驶人管理台账制度；</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（二）组织驾驶人参加道路交通安全、消防安全等知识培训；</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（三）督促驾驶人遵守道路交通安全通行规定，以及电动车停放、充电等规定；</w:t>
      </w:r>
    </w:p>
    <w:p>
      <w:pPr>
        <w:spacing w:line="640" w:lineRule="exact"/>
        <w:ind w:firstLine="720"/>
        <w:rPr>
          <w:rFonts w:ascii="仿宋" w:hAnsi="仿宋" w:eastAsia="仿宋_GB2312" w:cs="仿宋"/>
          <w:sz w:val="36"/>
          <w:szCs w:val="36"/>
        </w:rPr>
      </w:pPr>
      <w:r>
        <w:rPr>
          <w:rFonts w:hint="eastAsia" w:ascii="仿宋" w:hAnsi="仿宋" w:eastAsia="仿宋_GB2312" w:cs="仿宋"/>
          <w:sz w:val="36"/>
          <w:szCs w:val="36"/>
        </w:rPr>
        <w:t>（四）法律、法规规定的其他安全生产义务。</w:t>
      </w:r>
    </w:p>
    <w:p>
      <w:pPr>
        <w:spacing w:line="640" w:lineRule="exact"/>
        <w:ind w:firstLine="720" w:firstLineChars="200"/>
        <w:rPr>
          <w:rFonts w:ascii="仿宋" w:hAnsi="仿宋" w:eastAsia="仿宋_GB2312" w:cs="仿宋"/>
          <w:sz w:val="36"/>
          <w:szCs w:val="36"/>
        </w:rPr>
      </w:pPr>
      <w:r>
        <w:rPr>
          <w:rFonts w:hint="eastAsia" w:ascii="黑体" w:hAnsi="黑体" w:eastAsia="黑体" w:cs="黑体"/>
          <w:bCs/>
          <w:sz w:val="36"/>
          <w:szCs w:val="36"/>
        </w:rPr>
        <w:t xml:space="preserve">第二十三条 </w:t>
      </w:r>
      <w:r>
        <w:rPr>
          <w:rFonts w:hint="eastAsia" w:ascii="仿宋" w:hAnsi="仿宋" w:eastAsia="仿宋_GB2312" w:cs="仿宋"/>
          <w:b/>
          <w:bCs/>
          <w:color w:val="333333"/>
          <w:kern w:val="0"/>
          <w:sz w:val="36"/>
          <w:szCs w:val="36"/>
          <w:shd w:val="clear" w:color="auto" w:fill="FFFFFF"/>
        </w:rPr>
        <w:t xml:space="preserve"> </w:t>
      </w:r>
      <w:r>
        <w:rPr>
          <w:rFonts w:hint="eastAsia" w:ascii="仿宋" w:hAnsi="仿宋" w:eastAsia="仿宋_GB2312" w:cs="仿宋"/>
          <w:sz w:val="36"/>
          <w:szCs w:val="36"/>
        </w:rPr>
        <w:t>互联网租赁电动自行车经营企业应当遵守以下规定：</w:t>
      </w:r>
    </w:p>
    <w:p>
      <w:pPr>
        <w:spacing w:line="640" w:lineRule="exact"/>
        <w:rPr>
          <w:rFonts w:ascii="仿宋" w:hAnsi="仿宋" w:eastAsia="仿宋_GB2312" w:cs="仿宋"/>
          <w:sz w:val="36"/>
          <w:szCs w:val="36"/>
        </w:rPr>
      </w:pPr>
      <w:bookmarkStart w:id="2" w:name="tiao_34_kuan_1_xiang_1"/>
      <w:bookmarkEnd w:id="2"/>
      <w:r>
        <w:rPr>
          <w:rFonts w:hint="eastAsia" w:ascii="仿宋" w:hAnsi="仿宋" w:eastAsia="仿宋_GB2312" w:cs="仿宋"/>
          <w:sz w:val="36"/>
          <w:szCs w:val="36"/>
        </w:rPr>
        <w:t>　　（一）投放的电动自行车符合强制性国家标准；</w:t>
      </w:r>
    </w:p>
    <w:p>
      <w:pPr>
        <w:spacing w:line="640" w:lineRule="exact"/>
        <w:rPr>
          <w:rFonts w:ascii="仿宋" w:hAnsi="仿宋" w:eastAsia="仿宋_GB2312" w:cs="仿宋"/>
          <w:sz w:val="36"/>
          <w:szCs w:val="36"/>
        </w:rPr>
      </w:pPr>
      <w:bookmarkStart w:id="3" w:name="tiao_34_kuan_1_xiang_3"/>
      <w:bookmarkEnd w:id="3"/>
      <w:r>
        <w:rPr>
          <w:rFonts w:hint="eastAsia" w:ascii="仿宋" w:hAnsi="仿宋" w:eastAsia="仿宋_GB2312" w:cs="仿宋"/>
          <w:sz w:val="36"/>
          <w:szCs w:val="36"/>
        </w:rPr>
        <w:t>　　（二）随车配备安全头盔；</w:t>
      </w:r>
    </w:p>
    <w:p>
      <w:pPr>
        <w:spacing w:line="640" w:lineRule="exact"/>
        <w:rPr>
          <w:rFonts w:ascii="仿宋" w:hAnsi="仿宋" w:eastAsia="仿宋_GB2312" w:cs="仿宋"/>
          <w:sz w:val="36"/>
          <w:szCs w:val="36"/>
        </w:rPr>
      </w:pPr>
      <w:bookmarkStart w:id="4" w:name="tiao_34_kuan_1_xiang_4"/>
      <w:bookmarkEnd w:id="4"/>
      <w:r>
        <w:rPr>
          <w:rFonts w:hint="eastAsia" w:ascii="仿宋" w:hAnsi="仿宋" w:eastAsia="仿宋_GB2312" w:cs="仿宋"/>
          <w:sz w:val="36"/>
          <w:szCs w:val="36"/>
        </w:rPr>
        <w:t>　　（三）运用电子地图、电子围栏等现代技术手段进行运营维护和停放秩序管理；</w:t>
      </w:r>
    </w:p>
    <w:p>
      <w:pPr>
        <w:spacing w:line="640" w:lineRule="exact"/>
        <w:ind w:firstLine="722"/>
        <w:rPr>
          <w:rFonts w:ascii="仿宋" w:hAnsi="仿宋" w:eastAsia="仿宋_GB2312" w:cs="仿宋"/>
          <w:sz w:val="36"/>
          <w:szCs w:val="36"/>
        </w:rPr>
      </w:pPr>
      <w:bookmarkStart w:id="5" w:name="tiao_34_kuan_1_xiang_5"/>
      <w:bookmarkEnd w:id="5"/>
      <w:r>
        <w:rPr>
          <w:rFonts w:hint="eastAsia" w:ascii="仿宋" w:hAnsi="仿宋" w:eastAsia="仿宋_GB2312" w:cs="仿宋"/>
          <w:sz w:val="36"/>
          <w:szCs w:val="36"/>
        </w:rPr>
        <w:t>（四）</w:t>
      </w:r>
      <w:bookmarkStart w:id="6" w:name="tiao_34_kuan_1_xiang_6"/>
      <w:bookmarkEnd w:id="6"/>
      <w:r>
        <w:rPr>
          <w:rFonts w:hint="eastAsia" w:ascii="仿宋" w:hAnsi="仿宋" w:eastAsia="仿宋_GB2312" w:cs="仿宋"/>
          <w:sz w:val="36"/>
          <w:szCs w:val="36"/>
        </w:rPr>
        <w:t>加强日常调度，平衡区域供给，及时清理严重挤占人行道、车行道、绿化带的电动自行车；　　</w:t>
      </w:r>
    </w:p>
    <w:p>
      <w:pPr>
        <w:spacing w:line="640" w:lineRule="exact"/>
        <w:ind w:firstLine="722"/>
        <w:rPr>
          <w:rFonts w:ascii="仿宋" w:hAnsi="仿宋" w:eastAsia="仿宋_GB2312" w:cs="仿宋"/>
          <w:sz w:val="36"/>
          <w:szCs w:val="36"/>
        </w:rPr>
      </w:pPr>
      <w:r>
        <w:rPr>
          <w:rFonts w:hint="eastAsia" w:ascii="仿宋" w:hAnsi="仿宋" w:eastAsia="仿宋_GB2312" w:cs="仿宋"/>
          <w:sz w:val="36"/>
          <w:szCs w:val="36"/>
        </w:rPr>
        <w:t>（五）建立车辆与驾驶人识别制度，配合公安机关交通管理部门依法管理。</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第二十四条</w:t>
      </w:r>
      <w:r>
        <w:rPr>
          <w:rFonts w:hint="eastAsia" w:ascii="仿宋" w:hAnsi="仿宋" w:eastAsia="仿宋_GB2312" w:cs="仿宋"/>
          <w:b/>
          <w:sz w:val="36"/>
          <w:szCs w:val="36"/>
        </w:rPr>
        <w:t xml:space="preserve">  </w:t>
      </w:r>
      <w:r>
        <w:rPr>
          <w:rFonts w:hint="eastAsia" w:ascii="仿宋" w:hAnsi="仿宋" w:eastAsia="仿宋_GB2312" w:cs="仿宋"/>
          <w:sz w:val="36"/>
          <w:szCs w:val="36"/>
        </w:rPr>
        <w:t xml:space="preserve">设区的市、县（市）级人民政府应当组织公安、工业和信息化、市场监管、消防救援、住房和城乡建设、生态环境、交通运输、邮政管理、城市管理等机关和部门建立信息共享和执法协作机制，通过信息通报、联合执法、案件移送等方式，协同加强电动车安全管理。    </w:t>
      </w:r>
    </w:p>
    <w:p>
      <w:pPr>
        <w:spacing w:line="640" w:lineRule="exact"/>
        <w:rPr>
          <w:rFonts w:ascii="仿宋" w:hAnsi="仿宋" w:eastAsia="仿宋_GB2312" w:cs="仿宋"/>
          <w:sz w:val="36"/>
          <w:szCs w:val="36"/>
        </w:rPr>
      </w:pPr>
      <w:r>
        <w:rPr>
          <w:rFonts w:hint="eastAsia" w:ascii="仿宋" w:hAnsi="仿宋" w:eastAsia="仿宋_GB2312" w:cs="仿宋"/>
          <w:sz w:val="36"/>
          <w:szCs w:val="36"/>
        </w:rPr>
        <w:t>　　</w:t>
      </w:r>
      <w:r>
        <w:rPr>
          <w:rFonts w:hint="eastAsia" w:ascii="黑体" w:hAnsi="黑体" w:eastAsia="黑体" w:cs="黑体"/>
          <w:sz w:val="36"/>
          <w:szCs w:val="36"/>
        </w:rPr>
        <w:t>第二十五条</w:t>
      </w:r>
      <w:r>
        <w:rPr>
          <w:rFonts w:hint="eastAsia" w:ascii="仿宋" w:hAnsi="仿宋" w:eastAsia="仿宋_GB2312" w:cs="仿宋"/>
          <w:b/>
          <w:sz w:val="36"/>
          <w:szCs w:val="36"/>
        </w:rPr>
        <w:t xml:space="preserve">  </w:t>
      </w:r>
      <w:r>
        <w:rPr>
          <w:rFonts w:hint="eastAsia" w:ascii="仿宋" w:hAnsi="仿宋" w:eastAsia="仿宋_GB2312" w:cs="仿宋"/>
          <w:sz w:val="36"/>
          <w:szCs w:val="36"/>
        </w:rPr>
        <w:t>违反本条例规定的行为，法律、法规、规章已有处罚规定的，由有关部门按照职责依法处罚。</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第二十六条</w:t>
      </w:r>
      <w:r>
        <w:rPr>
          <w:rFonts w:hint="eastAsia" w:ascii="仿宋" w:hAnsi="仿宋" w:eastAsia="仿宋_GB2312" w:cs="仿宋"/>
          <w:b/>
          <w:sz w:val="36"/>
          <w:szCs w:val="36"/>
        </w:rPr>
        <w:t xml:space="preserve">  </w:t>
      </w:r>
      <w:r>
        <w:rPr>
          <w:rFonts w:hint="eastAsia" w:ascii="仿宋" w:hAnsi="仿宋" w:eastAsia="仿宋_GB2312" w:cs="仿宋"/>
          <w:sz w:val="36"/>
          <w:szCs w:val="36"/>
        </w:rPr>
        <w:t>违反本条例规定，驾驶未登记的电动自行车上道路行驶的，由设区的市、县（市）级人民政府公安机关交通管理部门予以警告，责令改正；拒不改正的，对驾驶人处五十元罚款，并责令补办登记手续。</w:t>
      </w:r>
    </w:p>
    <w:p>
      <w:pPr>
        <w:spacing w:line="640" w:lineRule="exact"/>
        <w:rPr>
          <w:rFonts w:ascii="仿宋" w:hAnsi="仿宋" w:eastAsia="仿宋_GB2312" w:cs="仿宋"/>
          <w:sz w:val="36"/>
          <w:szCs w:val="36"/>
        </w:rPr>
      </w:pPr>
      <w:r>
        <w:rPr>
          <w:rFonts w:hint="eastAsia" w:ascii="仿宋" w:hAnsi="仿宋" w:eastAsia="仿宋_GB2312" w:cs="仿宋"/>
          <w:sz w:val="36"/>
          <w:szCs w:val="36"/>
        </w:rPr>
        <w:t>　　违反本条例规定，使用伪造、变造的电动自行车号牌以及其他车辆号牌的，由设区的市、县（市）级人民政府公安机关交通管理部门收缴号牌，对电动自行车驾驶人处警告或者五十元罚款。</w:t>
      </w:r>
    </w:p>
    <w:p>
      <w:pPr>
        <w:spacing w:line="640" w:lineRule="exact"/>
        <w:ind w:firstLine="722"/>
        <w:rPr>
          <w:rFonts w:ascii="仿宋" w:hAnsi="仿宋" w:eastAsia="仿宋_GB2312" w:cs="仿宋"/>
          <w:sz w:val="36"/>
          <w:szCs w:val="36"/>
        </w:rPr>
      </w:pPr>
      <w:r>
        <w:rPr>
          <w:rFonts w:hint="eastAsia" w:ascii="仿宋" w:hAnsi="仿宋" w:eastAsia="仿宋_GB2312" w:cs="仿宋"/>
          <w:sz w:val="36"/>
          <w:szCs w:val="36"/>
        </w:rPr>
        <w:t>电动自行车驾驶人违反本条例其他道路通行规定的，由设区的市、县（市）级人民政府公安机关交通管理部门处警告或者五十元罚款。</w:t>
      </w:r>
    </w:p>
    <w:p>
      <w:pPr>
        <w:pStyle w:val="3"/>
        <w:spacing w:beforeAutospacing="0" w:afterAutospacing="0" w:line="640" w:lineRule="exact"/>
        <w:ind w:firstLine="722"/>
        <w:rPr>
          <w:rFonts w:hint="default" w:ascii="仿宋" w:hAnsi="仿宋" w:eastAsia="仿宋_GB2312" w:cs="仿宋"/>
          <w:b w:val="0"/>
          <w:kern w:val="2"/>
          <w:sz w:val="36"/>
          <w:szCs w:val="36"/>
        </w:rPr>
      </w:pPr>
      <w:r>
        <w:rPr>
          <w:rFonts w:ascii="黑体" w:hAnsi="黑体" w:eastAsia="黑体" w:cs="黑体"/>
          <w:b w:val="0"/>
          <w:kern w:val="2"/>
          <w:sz w:val="36"/>
          <w:szCs w:val="36"/>
        </w:rPr>
        <w:t>第二十七条</w:t>
      </w:r>
      <w:r>
        <w:rPr>
          <w:rFonts w:ascii="仿宋" w:hAnsi="仿宋" w:eastAsia="仿宋_GB2312" w:cs="仿宋"/>
          <w:b w:val="0"/>
          <w:kern w:val="2"/>
          <w:sz w:val="36"/>
          <w:szCs w:val="36"/>
        </w:rPr>
        <w:t xml:space="preserve">  违反本条例第二十条第一款规定，由消防救援机构责令改正，拒不改正的，对高层民用建筑内经营性单位和个人处二千元以上一万元以下罚款，对非经营性单位和个人处五百元以上一千元以下罚款；对其他民用建筑内单位和个人处警告或者五百元以下罚款。</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第二十八条</w:t>
      </w:r>
      <w:r>
        <w:rPr>
          <w:rFonts w:hint="eastAsia" w:ascii="仿宋" w:hAnsi="仿宋" w:eastAsia="仿宋_GB2312" w:cs="仿宋"/>
          <w:b/>
          <w:sz w:val="36"/>
          <w:szCs w:val="36"/>
        </w:rPr>
        <w:t xml:space="preserve">  </w:t>
      </w:r>
      <w:r>
        <w:rPr>
          <w:rFonts w:hint="eastAsia" w:ascii="仿宋" w:hAnsi="仿宋" w:eastAsia="仿宋_GB2312" w:cs="仿宋"/>
          <w:sz w:val="36"/>
          <w:szCs w:val="36"/>
        </w:rPr>
        <w:t>违反本条例规定，有关部门及其工作人员未履行电动车管理职责，或者滥用职权、玩忽职守、徇私舞弊的，依法给予处分。</w:t>
      </w:r>
    </w:p>
    <w:p>
      <w:pPr>
        <w:spacing w:line="640" w:lineRule="exact"/>
        <w:rPr>
          <w:rFonts w:ascii="仿宋" w:hAnsi="仿宋" w:eastAsia="仿宋_GB2312" w:cs="仿宋"/>
          <w:spacing w:val="-6"/>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第二十九条</w:t>
      </w:r>
      <w:r>
        <w:rPr>
          <w:rFonts w:hint="eastAsia" w:ascii="仿宋" w:hAnsi="仿宋" w:eastAsia="仿宋_GB2312" w:cs="仿宋"/>
          <w:b/>
          <w:sz w:val="36"/>
          <w:szCs w:val="36"/>
        </w:rPr>
        <w:t xml:space="preserve">  </w:t>
      </w:r>
      <w:r>
        <w:rPr>
          <w:rFonts w:hint="eastAsia" w:ascii="仿宋" w:hAnsi="仿宋" w:eastAsia="仿宋_GB2312" w:cs="仿宋"/>
          <w:sz w:val="36"/>
          <w:szCs w:val="36"/>
        </w:rPr>
        <w:t>本条例施行前已购买的不符合强制性国家标准的电动自行车、未列入《公告》的电动摩托车、低速电动车等车辆，其所有人应当自本条例施行之日起六个月内，到所在地设区的市、县（市）级人民政府公安机关交通管理部门免费领取通行识别码，可以在本条例施行之日起三年内上道路行驶；期满后，不得上道路行驶。领取</w:t>
      </w:r>
      <w:r>
        <w:rPr>
          <w:rFonts w:hint="eastAsia" w:ascii="仿宋" w:hAnsi="仿宋" w:eastAsia="仿宋_GB2312" w:cs="仿宋"/>
          <w:spacing w:val="-6"/>
          <w:sz w:val="36"/>
          <w:szCs w:val="36"/>
        </w:rPr>
        <w:t>通行识别码的具体管理办法由省人民政府公安机关另行制定。</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不符合强制性国家标准的电动自行车，参照有关非机动车的通行规定进行监督管理。</w:t>
      </w:r>
    </w:p>
    <w:p>
      <w:pPr>
        <w:spacing w:line="640" w:lineRule="exact"/>
        <w:rPr>
          <w:rFonts w:ascii="仿宋" w:hAnsi="仿宋" w:eastAsia="仿宋_GB2312" w:cs="仿宋"/>
          <w:sz w:val="36"/>
          <w:szCs w:val="36"/>
        </w:rPr>
      </w:pPr>
      <w:r>
        <w:rPr>
          <w:rFonts w:hint="eastAsia" w:ascii="仿宋" w:hAnsi="仿宋" w:eastAsia="仿宋_GB2312" w:cs="仿宋"/>
          <w:sz w:val="36"/>
          <w:szCs w:val="36"/>
        </w:rPr>
        <w:t>　　未列入《公告》的电动摩托车、低速电动车等车辆，参照有关机动车的通行规定进行监督管理，驾驶人应当取得相应准驾车型的驾驶资格。</w:t>
      </w:r>
    </w:p>
    <w:p>
      <w:pPr>
        <w:spacing w:line="640" w:lineRule="exact"/>
        <w:rPr>
          <w:rFonts w:ascii="仿宋" w:hAnsi="仿宋" w:eastAsia="仿宋_GB2312" w:cs="仿宋"/>
          <w:spacing w:val="-6"/>
          <w:sz w:val="36"/>
          <w:szCs w:val="36"/>
        </w:rPr>
      </w:pPr>
      <w:r>
        <w:rPr>
          <w:rFonts w:hint="eastAsia" w:ascii="仿宋" w:hAnsi="仿宋" w:eastAsia="仿宋_GB2312" w:cs="仿宋"/>
          <w:sz w:val="36"/>
          <w:szCs w:val="36"/>
        </w:rPr>
        <w:t xml:space="preserve">    设区的市人民政府应当制定具体措施，通过以旧换新、</w:t>
      </w:r>
      <w:r>
        <w:rPr>
          <w:rFonts w:hint="eastAsia" w:ascii="仿宋" w:hAnsi="仿宋" w:eastAsia="仿宋_GB2312" w:cs="仿宋"/>
          <w:spacing w:val="-6"/>
          <w:sz w:val="36"/>
          <w:szCs w:val="36"/>
        </w:rPr>
        <w:t xml:space="preserve">折价回购等方式，加快淘汰不符合强制性国家标准的电动车。 </w:t>
      </w:r>
    </w:p>
    <w:p>
      <w:pPr>
        <w:spacing w:line="640" w:lineRule="exact"/>
        <w:rPr>
          <w:rFonts w:ascii="仿宋" w:hAnsi="仿宋" w:eastAsia="仿宋_GB2312" w:cs="仿宋"/>
          <w:sz w:val="36"/>
          <w:szCs w:val="36"/>
        </w:rPr>
      </w:pPr>
      <w:r>
        <w:rPr>
          <w:rFonts w:hint="eastAsia" w:ascii="仿宋" w:hAnsi="仿宋" w:eastAsia="仿宋_GB2312" w:cs="仿宋"/>
          <w:sz w:val="36"/>
          <w:szCs w:val="36"/>
        </w:rPr>
        <w:t xml:space="preserve">    </w:t>
      </w:r>
      <w:r>
        <w:rPr>
          <w:rFonts w:hint="eastAsia" w:ascii="黑体" w:hAnsi="黑体" w:eastAsia="黑体" w:cs="黑体"/>
          <w:sz w:val="36"/>
          <w:szCs w:val="36"/>
        </w:rPr>
        <w:t>第三十条</w:t>
      </w:r>
      <w:r>
        <w:rPr>
          <w:rFonts w:hint="eastAsia" w:ascii="仿宋" w:hAnsi="仿宋" w:eastAsia="仿宋_GB2312" w:cs="仿宋"/>
          <w:b/>
          <w:sz w:val="36"/>
          <w:szCs w:val="36"/>
        </w:rPr>
        <w:t xml:space="preserve">  </w:t>
      </w:r>
      <w:r>
        <w:rPr>
          <w:rFonts w:hint="eastAsia" w:ascii="仿宋" w:hAnsi="仿宋" w:eastAsia="仿宋_GB2312" w:cs="仿宋"/>
          <w:sz w:val="36"/>
          <w:szCs w:val="36"/>
        </w:rPr>
        <w:t>本条例自</w:t>
      </w:r>
      <w:r>
        <w:rPr>
          <w:rFonts w:hint="eastAsia" w:ascii="Times New Roman" w:hAnsi="Times New Roman" w:eastAsia="仿宋_GB2312" w:cs="仿宋"/>
          <w:sz w:val="36"/>
          <w:szCs w:val="36"/>
        </w:rPr>
        <w:t>2023</w:t>
      </w:r>
      <w:r>
        <w:rPr>
          <w:rFonts w:hint="eastAsia" w:ascii="仿宋" w:hAnsi="仿宋" w:eastAsia="仿宋_GB2312" w:cs="仿宋"/>
          <w:sz w:val="36"/>
          <w:szCs w:val="36"/>
        </w:rPr>
        <w:t>年</w:t>
      </w:r>
      <w:r>
        <w:rPr>
          <w:rFonts w:hint="eastAsia" w:ascii="Times New Roman" w:hAnsi="Times New Roman" w:eastAsia="仿宋_GB2312" w:cs="仿宋"/>
          <w:sz w:val="36"/>
          <w:szCs w:val="36"/>
        </w:rPr>
        <w:t>5</w:t>
      </w:r>
      <w:r>
        <w:rPr>
          <w:rFonts w:hint="eastAsia" w:ascii="仿宋" w:hAnsi="仿宋" w:eastAsia="仿宋_GB2312" w:cs="仿宋"/>
          <w:sz w:val="36"/>
          <w:szCs w:val="36"/>
        </w:rPr>
        <w:t>月</w:t>
      </w:r>
      <w:r>
        <w:rPr>
          <w:rFonts w:hint="eastAsia" w:ascii="Times New Roman" w:hAnsi="Times New Roman" w:eastAsia="仿宋_GB2312" w:cs="仿宋"/>
          <w:sz w:val="36"/>
          <w:szCs w:val="36"/>
        </w:rPr>
        <w:t>1</w:t>
      </w:r>
      <w:r>
        <w:rPr>
          <w:rFonts w:hint="eastAsia" w:ascii="仿宋" w:hAnsi="仿宋" w:eastAsia="仿宋_GB2312" w:cs="仿宋"/>
          <w:sz w:val="36"/>
          <w:szCs w:val="36"/>
        </w:rPr>
        <w:t>日起施行。</w:t>
      </w:r>
    </w:p>
    <w:sectPr>
      <w:footerReference r:id="rId5" w:type="first"/>
      <w:footerReference r:id="rId3" w:type="default"/>
      <w:footerReference r:id="rId4" w:type="even"/>
      <w:pgSz w:w="11906" w:h="16838"/>
      <w:pgMar w:top="1701" w:right="1361"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ascii="宋体" w:hAnsi="宋体" w:eastAsia="宋体" w:cs="宋体"/>
        <w:sz w:val="28"/>
      </w:rPr>
      <w:t>11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xNDUyNTNkNWNiNDMxOWIzZjFiY2Q4ZWUyOWU2OTUifQ=="/>
  </w:docVars>
  <w:rsids>
    <w:rsidRoot w:val="004A6272"/>
    <w:rsid w:val="000008B5"/>
    <w:rsid w:val="0000123C"/>
    <w:rsid w:val="00012B4E"/>
    <w:rsid w:val="00013122"/>
    <w:rsid w:val="00013FDA"/>
    <w:rsid w:val="0002102C"/>
    <w:rsid w:val="00026235"/>
    <w:rsid w:val="00035242"/>
    <w:rsid w:val="000751D5"/>
    <w:rsid w:val="00075DE0"/>
    <w:rsid w:val="000F1830"/>
    <w:rsid w:val="001347DE"/>
    <w:rsid w:val="0014397E"/>
    <w:rsid w:val="00160A98"/>
    <w:rsid w:val="00200816"/>
    <w:rsid w:val="002120FE"/>
    <w:rsid w:val="002200A3"/>
    <w:rsid w:val="0022041A"/>
    <w:rsid w:val="00222DC0"/>
    <w:rsid w:val="00224AB0"/>
    <w:rsid w:val="002405BF"/>
    <w:rsid w:val="00256BA6"/>
    <w:rsid w:val="002770D4"/>
    <w:rsid w:val="002A0C6A"/>
    <w:rsid w:val="002A7A2D"/>
    <w:rsid w:val="002B673F"/>
    <w:rsid w:val="002C1004"/>
    <w:rsid w:val="002C3C2E"/>
    <w:rsid w:val="002E7937"/>
    <w:rsid w:val="002F183C"/>
    <w:rsid w:val="002F2727"/>
    <w:rsid w:val="00320BEF"/>
    <w:rsid w:val="0035169A"/>
    <w:rsid w:val="003A47E5"/>
    <w:rsid w:val="003A5C06"/>
    <w:rsid w:val="003A6A69"/>
    <w:rsid w:val="003B5142"/>
    <w:rsid w:val="003B7053"/>
    <w:rsid w:val="003D6634"/>
    <w:rsid w:val="003E09F3"/>
    <w:rsid w:val="003E4BD1"/>
    <w:rsid w:val="003E6980"/>
    <w:rsid w:val="004162F8"/>
    <w:rsid w:val="00423CF3"/>
    <w:rsid w:val="00435D21"/>
    <w:rsid w:val="00442B23"/>
    <w:rsid w:val="00464FD6"/>
    <w:rsid w:val="00471E39"/>
    <w:rsid w:val="00493BEF"/>
    <w:rsid w:val="004A3B36"/>
    <w:rsid w:val="004A6272"/>
    <w:rsid w:val="004E5EB0"/>
    <w:rsid w:val="004F4701"/>
    <w:rsid w:val="005236ED"/>
    <w:rsid w:val="005707CB"/>
    <w:rsid w:val="005B4EF8"/>
    <w:rsid w:val="005C7344"/>
    <w:rsid w:val="005D62F3"/>
    <w:rsid w:val="00651143"/>
    <w:rsid w:val="00681355"/>
    <w:rsid w:val="006862EB"/>
    <w:rsid w:val="006E66B3"/>
    <w:rsid w:val="006F534C"/>
    <w:rsid w:val="006F7F85"/>
    <w:rsid w:val="007509B0"/>
    <w:rsid w:val="00796229"/>
    <w:rsid w:val="007C51C3"/>
    <w:rsid w:val="007E45DC"/>
    <w:rsid w:val="00821A62"/>
    <w:rsid w:val="00836F08"/>
    <w:rsid w:val="00852677"/>
    <w:rsid w:val="008554F7"/>
    <w:rsid w:val="00873862"/>
    <w:rsid w:val="00891D86"/>
    <w:rsid w:val="008A0130"/>
    <w:rsid w:val="008C1164"/>
    <w:rsid w:val="008C1BF6"/>
    <w:rsid w:val="008C6E61"/>
    <w:rsid w:val="008D66D3"/>
    <w:rsid w:val="008F6E20"/>
    <w:rsid w:val="00925E9E"/>
    <w:rsid w:val="009277F5"/>
    <w:rsid w:val="009337B7"/>
    <w:rsid w:val="00943503"/>
    <w:rsid w:val="00965237"/>
    <w:rsid w:val="009657F3"/>
    <w:rsid w:val="009C78FC"/>
    <w:rsid w:val="00A211CD"/>
    <w:rsid w:val="00A63CE6"/>
    <w:rsid w:val="00A91637"/>
    <w:rsid w:val="00AA0C56"/>
    <w:rsid w:val="00AE700E"/>
    <w:rsid w:val="00AF24E9"/>
    <w:rsid w:val="00B318F8"/>
    <w:rsid w:val="00B32725"/>
    <w:rsid w:val="00B54F37"/>
    <w:rsid w:val="00B60B7A"/>
    <w:rsid w:val="00B870DB"/>
    <w:rsid w:val="00BB713C"/>
    <w:rsid w:val="00BF04AE"/>
    <w:rsid w:val="00C03114"/>
    <w:rsid w:val="00C03CDF"/>
    <w:rsid w:val="00C1270E"/>
    <w:rsid w:val="00C25FD3"/>
    <w:rsid w:val="00C36A0A"/>
    <w:rsid w:val="00C43C9D"/>
    <w:rsid w:val="00C4515E"/>
    <w:rsid w:val="00C67B00"/>
    <w:rsid w:val="00C81836"/>
    <w:rsid w:val="00C85D5D"/>
    <w:rsid w:val="00CA2F08"/>
    <w:rsid w:val="00CA5970"/>
    <w:rsid w:val="00CF414E"/>
    <w:rsid w:val="00D165EB"/>
    <w:rsid w:val="00DB22C5"/>
    <w:rsid w:val="00DC1208"/>
    <w:rsid w:val="00DC707B"/>
    <w:rsid w:val="00DD3B96"/>
    <w:rsid w:val="00DD6228"/>
    <w:rsid w:val="00DE74E6"/>
    <w:rsid w:val="00E017CF"/>
    <w:rsid w:val="00E16E1C"/>
    <w:rsid w:val="00E27452"/>
    <w:rsid w:val="00E54854"/>
    <w:rsid w:val="00E55A38"/>
    <w:rsid w:val="00E57C8F"/>
    <w:rsid w:val="00F1078E"/>
    <w:rsid w:val="00F10D1A"/>
    <w:rsid w:val="00F163D2"/>
    <w:rsid w:val="00FA7865"/>
    <w:rsid w:val="00FE4571"/>
    <w:rsid w:val="012D192E"/>
    <w:rsid w:val="02D40E88"/>
    <w:rsid w:val="04AB1142"/>
    <w:rsid w:val="054306B6"/>
    <w:rsid w:val="062A645C"/>
    <w:rsid w:val="07F95EB8"/>
    <w:rsid w:val="0A42362D"/>
    <w:rsid w:val="0CBB797B"/>
    <w:rsid w:val="0CBD2BC6"/>
    <w:rsid w:val="0D660F9A"/>
    <w:rsid w:val="0EA63CCD"/>
    <w:rsid w:val="10564BB9"/>
    <w:rsid w:val="12B46304"/>
    <w:rsid w:val="13CE45BD"/>
    <w:rsid w:val="153C730C"/>
    <w:rsid w:val="15BE3174"/>
    <w:rsid w:val="175A1B19"/>
    <w:rsid w:val="18D17CFD"/>
    <w:rsid w:val="1C0652D7"/>
    <w:rsid w:val="1CBE74C3"/>
    <w:rsid w:val="1EE241F9"/>
    <w:rsid w:val="1F9F771D"/>
    <w:rsid w:val="1FAE057F"/>
    <w:rsid w:val="20C31AE3"/>
    <w:rsid w:val="21EE4ABE"/>
    <w:rsid w:val="236076C6"/>
    <w:rsid w:val="236C1193"/>
    <w:rsid w:val="24381417"/>
    <w:rsid w:val="24764838"/>
    <w:rsid w:val="257A6A38"/>
    <w:rsid w:val="26C92BC5"/>
    <w:rsid w:val="26FA6DB3"/>
    <w:rsid w:val="272572B8"/>
    <w:rsid w:val="27760F28"/>
    <w:rsid w:val="299B1B74"/>
    <w:rsid w:val="29E10A47"/>
    <w:rsid w:val="2A196767"/>
    <w:rsid w:val="2A825FFA"/>
    <w:rsid w:val="2CDC6D44"/>
    <w:rsid w:val="2D2B5BA4"/>
    <w:rsid w:val="2EDD7A48"/>
    <w:rsid w:val="2FB24BDB"/>
    <w:rsid w:val="30436194"/>
    <w:rsid w:val="316D0374"/>
    <w:rsid w:val="33B163B8"/>
    <w:rsid w:val="34664261"/>
    <w:rsid w:val="37AE5168"/>
    <w:rsid w:val="37AF0747"/>
    <w:rsid w:val="37EE7966"/>
    <w:rsid w:val="382C4A0B"/>
    <w:rsid w:val="389846CF"/>
    <w:rsid w:val="39CF71B6"/>
    <w:rsid w:val="3A5D6539"/>
    <w:rsid w:val="3C3D51BB"/>
    <w:rsid w:val="3C5E0817"/>
    <w:rsid w:val="3C741DC6"/>
    <w:rsid w:val="3C7A4645"/>
    <w:rsid w:val="3D42646C"/>
    <w:rsid w:val="3FCB6691"/>
    <w:rsid w:val="3FE0215F"/>
    <w:rsid w:val="411637F0"/>
    <w:rsid w:val="419453CF"/>
    <w:rsid w:val="41E94E3E"/>
    <w:rsid w:val="43253BD2"/>
    <w:rsid w:val="474A52C5"/>
    <w:rsid w:val="4A033125"/>
    <w:rsid w:val="4A6E6153"/>
    <w:rsid w:val="4ADF7039"/>
    <w:rsid w:val="4AEF52E8"/>
    <w:rsid w:val="4C3A2B77"/>
    <w:rsid w:val="4D31441A"/>
    <w:rsid w:val="4E161AB8"/>
    <w:rsid w:val="4ED4412F"/>
    <w:rsid w:val="4EFE5F5E"/>
    <w:rsid w:val="4F0022F6"/>
    <w:rsid w:val="522A62F0"/>
    <w:rsid w:val="531A11E6"/>
    <w:rsid w:val="53FA0F3E"/>
    <w:rsid w:val="55582054"/>
    <w:rsid w:val="561930A9"/>
    <w:rsid w:val="577765BC"/>
    <w:rsid w:val="599F5B98"/>
    <w:rsid w:val="5EC42585"/>
    <w:rsid w:val="61791811"/>
    <w:rsid w:val="62037CDB"/>
    <w:rsid w:val="62C00E57"/>
    <w:rsid w:val="62D5484E"/>
    <w:rsid w:val="639640C3"/>
    <w:rsid w:val="64451FF9"/>
    <w:rsid w:val="660D5F81"/>
    <w:rsid w:val="662260AE"/>
    <w:rsid w:val="675A034C"/>
    <w:rsid w:val="68C306B4"/>
    <w:rsid w:val="6A1D6130"/>
    <w:rsid w:val="6BC2189B"/>
    <w:rsid w:val="6E455A1C"/>
    <w:rsid w:val="6E7B70D6"/>
    <w:rsid w:val="6FB443AF"/>
    <w:rsid w:val="72213E66"/>
    <w:rsid w:val="7292340F"/>
    <w:rsid w:val="72C6372F"/>
    <w:rsid w:val="7326296A"/>
    <w:rsid w:val="752B5127"/>
    <w:rsid w:val="7757002F"/>
    <w:rsid w:val="778D01A8"/>
    <w:rsid w:val="787D2DAD"/>
    <w:rsid w:val="78CF0694"/>
    <w:rsid w:val="7A0A1915"/>
    <w:rsid w:val="7B226FCC"/>
    <w:rsid w:val="7BE2680A"/>
    <w:rsid w:val="7D0C085E"/>
    <w:rsid w:val="7DF033B2"/>
    <w:rsid w:val="7E52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18"/>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560" w:lineRule="exact"/>
      <w:textAlignment w:val="baseline"/>
    </w:pPr>
    <w:rPr>
      <w:b/>
    </w:rPr>
  </w:style>
  <w:style w:type="paragraph" w:styleId="6">
    <w:name w:val="table of authorities"/>
    <w:basedOn w:val="1"/>
    <w:next w:val="1"/>
    <w:qFormat/>
    <w:uiPriority w:val="0"/>
    <w:pPr>
      <w:ind w:left="420" w:leftChars="200"/>
    </w:pPr>
  </w:style>
  <w:style w:type="paragraph" w:styleId="7">
    <w:name w:val="Body Text"/>
    <w:basedOn w:val="1"/>
    <w:qFormat/>
    <w:uiPriority w:val="0"/>
    <w:pPr>
      <w:widowControl/>
      <w:spacing w:after="120"/>
      <w:jc w:val="left"/>
    </w:pPr>
    <w:rPr>
      <w:sz w:val="24"/>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qFormat/>
    <w:uiPriority w:val="0"/>
  </w:style>
  <w:style w:type="character" w:styleId="15">
    <w:name w:val="Hyperlink"/>
    <w:basedOn w:val="12"/>
    <w:qFormat/>
    <w:uiPriority w:val="0"/>
    <w:rPr>
      <w:color w:val="0000FF"/>
      <w:u w:val="single"/>
    </w:rPr>
  </w:style>
  <w:style w:type="character" w:customStyle="1" w:styleId="16">
    <w:name w:val="NormalCharacter"/>
    <w:semiHidden/>
    <w:qFormat/>
    <w:uiPriority w:val="0"/>
    <w:rPr>
      <w:kern w:val="2"/>
      <w:sz w:val="32"/>
      <w:szCs w:val="22"/>
      <w:lang w:val="en-US" w:eastAsia="zh-CN" w:bidi="ar-SA"/>
    </w:rPr>
  </w:style>
  <w:style w:type="paragraph" w:styleId="17">
    <w:name w:val="List Paragraph"/>
    <w:basedOn w:val="1"/>
    <w:qFormat/>
    <w:uiPriority w:val="99"/>
    <w:pPr>
      <w:ind w:firstLine="420" w:firstLineChars="200"/>
    </w:pPr>
  </w:style>
  <w:style w:type="character" w:customStyle="1" w:styleId="18">
    <w:name w:val="标题 3 Char"/>
    <w:basedOn w:val="12"/>
    <w:link w:val="5"/>
    <w:semiHidden/>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4622</Words>
  <Characters>4631</Characters>
  <Lines>3</Lines>
  <Paragraphs>10</Paragraphs>
  <TotalTime>10</TotalTime>
  <ScaleCrop>false</ScaleCrop>
  <LinksUpToDate>false</LinksUpToDate>
  <CharactersWithSpaces>4920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2022-04-10T14:01:00Z</dcterms:created>
  <dc:creator>admin</dc:creator>
  <cp:lastModifiedBy>PC400</cp:lastModifiedBy>
  <cp:lastPrinted>2022-12-26T03:55:00Z</cp:lastPrinted>
  <dcterms:modified xsi:type="dcterms:W3CDTF">2023-02-09T10:41:25Z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62E08B3450DF4031A9571F5D36F7973F</vt:lpwstr>
  </property>
</Properties>
</file>