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A61" w:rsidRPr="0058273D" w:rsidRDefault="00DF4A61" w:rsidP="0058273D">
      <w:pPr>
        <w:adjustRightInd w:val="0"/>
        <w:snapToGrid w:val="0"/>
        <w:spacing w:line="580" w:lineRule="exact"/>
        <w:jc w:val="center"/>
        <w:rPr>
          <w:rFonts w:ascii="方正小标宋简体" w:eastAsia="方正小标宋简体" w:hAnsi="方正小标宋简体" w:cs="方正小标宋简体" w:hint="eastAsia"/>
          <w:b/>
          <w:bCs/>
          <w:sz w:val="44"/>
          <w:szCs w:val="44"/>
        </w:rPr>
      </w:pPr>
    </w:p>
    <w:p w:rsidR="0058273D" w:rsidRPr="0058273D" w:rsidRDefault="0058273D" w:rsidP="0058273D">
      <w:pPr>
        <w:pStyle w:val="2"/>
        <w:spacing w:line="580" w:lineRule="exact"/>
      </w:pPr>
    </w:p>
    <w:p w:rsidR="00DF4A61" w:rsidRPr="0058273D" w:rsidRDefault="002A7046" w:rsidP="0058273D">
      <w:pPr>
        <w:spacing w:line="580" w:lineRule="exact"/>
        <w:jc w:val="center"/>
        <w:outlineLvl w:val="0"/>
        <w:rPr>
          <w:rFonts w:ascii="宋体" w:eastAsiaTheme="minorEastAsia" w:hAnsi="宋体" w:cstheme="minorBidi"/>
          <w:bCs/>
          <w:color w:val="000000"/>
          <w:kern w:val="44"/>
          <w:sz w:val="44"/>
          <w:szCs w:val="44"/>
        </w:rPr>
      </w:pPr>
      <w:r w:rsidRPr="0058273D">
        <w:rPr>
          <w:rFonts w:ascii="宋体" w:eastAsiaTheme="minorEastAsia" w:hAnsi="宋体" w:cstheme="minorBidi" w:hint="eastAsia"/>
          <w:bCs/>
          <w:color w:val="000000"/>
          <w:kern w:val="44"/>
          <w:sz w:val="44"/>
          <w:szCs w:val="44"/>
        </w:rPr>
        <w:t>四川省盐业管理条例</w:t>
      </w:r>
    </w:p>
    <w:p w:rsidR="00DF4A61" w:rsidRPr="0058273D" w:rsidRDefault="00DF4A61" w:rsidP="0058273D">
      <w:pPr>
        <w:widowControl/>
        <w:adjustRightInd w:val="0"/>
        <w:snapToGrid w:val="0"/>
        <w:spacing w:line="580" w:lineRule="exact"/>
        <w:jc w:val="center"/>
        <w:rPr>
          <w:rFonts w:eastAsia="方正仿宋简体"/>
          <w:b/>
          <w:color w:val="000000"/>
          <w:sz w:val="22"/>
        </w:rPr>
      </w:pPr>
    </w:p>
    <w:p w:rsidR="00D70F64" w:rsidRPr="0058273D" w:rsidRDefault="00D70F64" w:rsidP="0058273D">
      <w:pPr>
        <w:widowControl/>
        <w:spacing w:line="580" w:lineRule="exact"/>
        <w:ind w:leftChars="300" w:left="630" w:rightChars="300" w:right="630"/>
        <w:rPr>
          <w:rFonts w:ascii="楷体_GB2312" w:eastAsia="楷体_GB2312" w:hAnsi="Calibri" w:cstheme="minorBidi"/>
          <w:bCs/>
          <w:sz w:val="32"/>
          <w:szCs w:val="32"/>
        </w:rPr>
      </w:pPr>
      <w:r w:rsidRPr="0058273D">
        <w:rPr>
          <w:rFonts w:ascii="楷体_GB2312" w:eastAsia="楷体_GB2312" w:hAnsi="Calibri" w:cstheme="minorBidi" w:hint="eastAsia"/>
          <w:bCs/>
          <w:sz w:val="32"/>
          <w:szCs w:val="32"/>
        </w:rPr>
        <w:t>（1998年12月18日四川省第九届人民代表大会常务委员会第六次会议通过  根据2012年7月27日四川省第十一届人民代表大会常务委员会第三十一次会议《关于修改部分地方性法规的决定》修正  根据2014年9月26日四川省第十二届人民代表大会常务委员会第十二次会议《关于修改</w:t>
      </w:r>
      <w:r w:rsidR="005C671B" w:rsidRPr="0058273D">
        <w:rPr>
          <w:rFonts w:ascii="楷体_GB2312" w:eastAsia="楷体_GB2312" w:hAnsi="Calibri" w:cstheme="minorBidi" w:hint="eastAsia"/>
          <w:bCs/>
          <w:sz w:val="32"/>
          <w:szCs w:val="32"/>
        </w:rPr>
        <w:t>〈</w:t>
      </w:r>
      <w:r w:rsidRPr="0058273D">
        <w:rPr>
          <w:rFonts w:ascii="楷体_GB2312" w:eastAsia="楷体_GB2312" w:hAnsi="Calibri" w:cstheme="minorBidi" w:hint="eastAsia"/>
          <w:bCs/>
          <w:sz w:val="32"/>
          <w:szCs w:val="32"/>
        </w:rPr>
        <w:t>四川省盐业管理条例</w:t>
      </w:r>
      <w:r w:rsidR="005C671B" w:rsidRPr="0058273D">
        <w:rPr>
          <w:rFonts w:ascii="楷体_GB2312" w:eastAsia="楷体_GB2312" w:hAnsi="Calibri" w:cstheme="minorBidi" w:hint="eastAsia"/>
          <w:bCs/>
          <w:sz w:val="32"/>
          <w:szCs w:val="32"/>
        </w:rPr>
        <w:t>〉</w:t>
      </w:r>
      <w:r w:rsidRPr="0058273D">
        <w:rPr>
          <w:rFonts w:ascii="楷体_GB2312" w:eastAsia="楷体_GB2312" w:hAnsi="Calibri" w:cstheme="minorBidi" w:hint="eastAsia"/>
          <w:bCs/>
          <w:sz w:val="32"/>
          <w:szCs w:val="32"/>
        </w:rPr>
        <w:t xml:space="preserve">的决定》修正  </w:t>
      </w:r>
      <w:r w:rsidRPr="0058273D">
        <w:rPr>
          <w:rFonts w:ascii="楷体_GB2312" w:eastAsia="楷体_GB2312" w:hAnsi="Calibri" w:cstheme="minorBidi"/>
          <w:bCs/>
          <w:sz w:val="32"/>
          <w:szCs w:val="32"/>
        </w:rPr>
        <w:t>202</w:t>
      </w:r>
      <w:r w:rsidRPr="0058273D">
        <w:rPr>
          <w:rFonts w:ascii="楷体_GB2312" w:eastAsia="楷体_GB2312" w:hAnsi="Calibri" w:cstheme="minorBidi" w:hint="eastAsia"/>
          <w:bCs/>
          <w:sz w:val="32"/>
          <w:szCs w:val="32"/>
        </w:rPr>
        <w:t>2年12月2日四川省第十三届人民代表大会常务委员会第三十八次会议修订）</w:t>
      </w:r>
    </w:p>
    <w:p w:rsidR="00DF4A61" w:rsidRPr="0058273D" w:rsidRDefault="00DF4A61" w:rsidP="0058273D">
      <w:pPr>
        <w:spacing w:line="580" w:lineRule="exact"/>
        <w:ind w:firstLineChars="200" w:firstLine="643"/>
        <w:rPr>
          <w:rFonts w:ascii="方正仿宋简体" w:eastAsia="方正仿宋简体" w:hAnsi="方正仿宋简体" w:cs="方正仿宋简体"/>
          <w:b/>
          <w:bCs/>
          <w:sz w:val="32"/>
          <w:szCs w:val="32"/>
        </w:rPr>
      </w:pP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黑体" w:hAnsi="方正楷体简体" w:cs="方正楷体简体" w:hint="eastAsia"/>
          <w:bCs/>
          <w:sz w:val="32"/>
          <w:szCs w:val="32"/>
        </w:rPr>
        <w:t>第一条</w:t>
      </w:r>
      <w:r w:rsidRPr="0058273D">
        <w:rPr>
          <w:rFonts w:ascii="仿宋_GB2312" w:eastAsia="仿宋_GB2312" w:hAnsi="方正楷体简体" w:cs="方正楷体简体" w:hint="eastAsia"/>
          <w:bCs/>
          <w:sz w:val="32"/>
          <w:szCs w:val="32"/>
        </w:rPr>
        <w:t xml:space="preserve"> </w:t>
      </w:r>
      <w:r w:rsidRPr="0058273D">
        <w:rPr>
          <w:rFonts w:ascii="仿宋_GB2312" w:eastAsia="仿宋_GB2312" w:hAnsi="方正仿宋简体" w:cs="方正仿宋简体" w:hint="eastAsia"/>
          <w:bCs/>
          <w:sz w:val="32"/>
          <w:szCs w:val="32"/>
        </w:rPr>
        <w:t xml:space="preserve"> 为了加强盐业管理，推动盐业高质量发展，确保食盐质量安全和供应安全，保护公民的身体健康，根据《中华人民共和国食品安全法》、《食盐专营办法》、《食盐加碘消除碘缺乏危害管理条例》等法律、行政法规，结合四川省实际，制定本条例。</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黑体" w:hAnsi="方正楷体简体" w:cs="方正楷体简体" w:hint="eastAsia"/>
          <w:bCs/>
          <w:sz w:val="32"/>
          <w:szCs w:val="32"/>
        </w:rPr>
        <w:t>第二条</w:t>
      </w:r>
      <w:r w:rsidRPr="0058273D">
        <w:rPr>
          <w:rFonts w:ascii="仿宋_GB2312" w:eastAsia="仿宋_GB2312" w:hAnsi="方正楷体简体" w:cs="方正楷体简体" w:hint="eastAsia"/>
          <w:bCs/>
          <w:sz w:val="32"/>
          <w:szCs w:val="32"/>
        </w:rPr>
        <w:t xml:space="preserve"> </w:t>
      </w:r>
      <w:r w:rsidRPr="0058273D">
        <w:rPr>
          <w:rFonts w:ascii="仿宋_GB2312" w:eastAsia="仿宋_GB2312" w:hAnsi="方正仿宋简体" w:cs="方正仿宋简体" w:hint="eastAsia"/>
          <w:bCs/>
          <w:sz w:val="32"/>
          <w:szCs w:val="32"/>
        </w:rPr>
        <w:t xml:space="preserve"> 在四川省行政区域内从事盐资源开发利用和盐产品生产、购买、销售、贮存、运输、储备及其管理活动，适用本条例。</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仿宋_GB2312" w:hAnsi="方正仿宋简体" w:cs="方正仿宋简体" w:hint="eastAsia"/>
          <w:bCs/>
          <w:sz w:val="32"/>
          <w:szCs w:val="32"/>
        </w:rPr>
        <w:t>本条例所称盐产品，包括食盐和工业用盐等非食用盐。</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仿宋_GB2312" w:hAnsi="方正仿宋简体" w:cs="方正仿宋简体" w:hint="eastAsia"/>
          <w:bCs/>
          <w:sz w:val="32"/>
          <w:szCs w:val="32"/>
        </w:rPr>
        <w:lastRenderedPageBreak/>
        <w:t>渔业、畜牧用盐按照国家有关规定执行。</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黑体" w:hAnsi="方正楷体简体" w:cs="方正楷体简体" w:hint="eastAsia"/>
          <w:bCs/>
          <w:sz w:val="32"/>
          <w:szCs w:val="32"/>
        </w:rPr>
        <w:t>第三条</w:t>
      </w:r>
      <w:r w:rsidRPr="0058273D">
        <w:rPr>
          <w:rFonts w:ascii="仿宋_GB2312" w:eastAsia="仿宋_GB2312" w:hAnsi="方正仿宋简体" w:cs="方正仿宋简体" w:hint="eastAsia"/>
          <w:bCs/>
          <w:sz w:val="32"/>
          <w:szCs w:val="32"/>
        </w:rPr>
        <w:t xml:space="preserve">  省经济和信息化部门是本省盐业主管部门，负责全省盐业管理和食盐专营工作。市（州）、县（市、区）人民政府确定的盐业主管部门负责本行政区域内盐业管理和食盐专营工作。</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仿宋_GB2312" w:hAnsi="方正仿宋简体" w:cs="方正仿宋简体" w:hint="eastAsia"/>
          <w:bCs/>
          <w:sz w:val="32"/>
          <w:szCs w:val="32"/>
        </w:rPr>
        <w:t>县级以上地方人民政府市场监管部门负责本行政区域内食盐质量安全监督管理工作。</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仿宋_GB2312" w:hAnsi="方正仿宋简体" w:cs="方正仿宋简体" w:hint="eastAsia"/>
          <w:bCs/>
          <w:sz w:val="32"/>
          <w:szCs w:val="32"/>
        </w:rPr>
        <w:t>县级以上地方人民政府卫生健康部门负责本</w:t>
      </w:r>
      <w:proofErr w:type="gramStart"/>
      <w:r w:rsidRPr="0058273D">
        <w:rPr>
          <w:rFonts w:ascii="仿宋_GB2312" w:eastAsia="仿宋_GB2312" w:hAnsi="方正仿宋简体" w:cs="方正仿宋简体" w:hint="eastAsia"/>
          <w:bCs/>
          <w:sz w:val="32"/>
          <w:szCs w:val="32"/>
        </w:rPr>
        <w:t>行政区域内碘缺乏</w:t>
      </w:r>
      <w:proofErr w:type="gramEnd"/>
      <w:r w:rsidRPr="0058273D">
        <w:rPr>
          <w:rFonts w:ascii="仿宋_GB2312" w:eastAsia="仿宋_GB2312" w:hAnsi="方正仿宋简体" w:cs="方正仿宋简体" w:hint="eastAsia"/>
          <w:bCs/>
          <w:sz w:val="32"/>
          <w:szCs w:val="32"/>
        </w:rPr>
        <w:t>危害防治和监测工作。</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仿宋_GB2312" w:hAnsi="方正仿宋简体" w:cs="方正仿宋简体" w:hint="eastAsia"/>
          <w:bCs/>
          <w:sz w:val="32"/>
          <w:szCs w:val="32"/>
        </w:rPr>
        <w:t>发展改革、教育、财政、自然资源、生态环境、农业农村、文化和旅游、应急管理、税务等部门，按照各自职责做好盐业管理相关工作。</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黑体" w:hAnsi="方正楷体简体" w:cs="方正楷体简体" w:hint="eastAsia"/>
          <w:bCs/>
          <w:sz w:val="32"/>
          <w:szCs w:val="32"/>
        </w:rPr>
        <w:t>第四条</w:t>
      </w:r>
      <w:r w:rsidRPr="0058273D">
        <w:rPr>
          <w:rFonts w:ascii="仿宋_GB2312" w:eastAsia="仿宋_GB2312" w:hAnsi="方正仿宋简体" w:cs="方正仿宋简体" w:hint="eastAsia"/>
          <w:bCs/>
          <w:sz w:val="32"/>
          <w:szCs w:val="32"/>
        </w:rPr>
        <w:t xml:space="preserve">  省盐业主管部门应当会同有关部门根据环保、能耗、质量、安全等方面的法律法规推进</w:t>
      </w:r>
      <w:proofErr w:type="gramStart"/>
      <w:r w:rsidRPr="0058273D">
        <w:rPr>
          <w:rFonts w:ascii="仿宋_GB2312" w:eastAsia="仿宋_GB2312" w:hAnsi="方正仿宋简体" w:cs="方正仿宋简体" w:hint="eastAsia"/>
          <w:bCs/>
          <w:sz w:val="32"/>
          <w:szCs w:val="32"/>
        </w:rPr>
        <w:t>盐产业</w:t>
      </w:r>
      <w:proofErr w:type="gramEnd"/>
      <w:r w:rsidRPr="0058273D">
        <w:rPr>
          <w:rFonts w:ascii="仿宋_GB2312" w:eastAsia="仿宋_GB2312" w:hAnsi="方正仿宋简体" w:cs="方正仿宋简体" w:hint="eastAsia"/>
          <w:bCs/>
          <w:sz w:val="32"/>
          <w:szCs w:val="32"/>
        </w:rPr>
        <w:t>绿色低碳转型发展和优化升级。</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仿宋_GB2312" w:hAnsi="方正仿宋简体" w:cs="方正仿宋简体" w:hint="eastAsia"/>
          <w:bCs/>
          <w:sz w:val="32"/>
          <w:szCs w:val="32"/>
        </w:rPr>
        <w:t>鼓励盐业企业采用环保低碳、节能降耗的制盐生产新工艺、新技术、新设备，综合利用盐资源及矿产开采伴生盐卤、工业副产盐、高盐废水等，探索盐穴储能，延伸盐化工产业链。</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仿宋_GB2312" w:hAnsi="方正仿宋简体" w:cs="方正仿宋简体" w:hint="eastAsia"/>
          <w:bCs/>
          <w:sz w:val="32"/>
          <w:szCs w:val="32"/>
        </w:rPr>
        <w:t>符合国家有关节能减排、循环经济发展、资源综合利用等规定的，给予相关政策支持，依法落实税收优惠政策。</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黑体" w:hAnsi="方正楷体简体" w:cs="方正楷体简体" w:hint="eastAsia"/>
          <w:bCs/>
          <w:sz w:val="32"/>
          <w:szCs w:val="32"/>
        </w:rPr>
        <w:t>第五条</w:t>
      </w:r>
      <w:r w:rsidRPr="0058273D">
        <w:rPr>
          <w:rFonts w:ascii="仿宋_GB2312" w:eastAsia="仿宋_GB2312" w:hAnsi="方正楷体简体" w:cs="方正楷体简体" w:hint="eastAsia"/>
          <w:bCs/>
          <w:sz w:val="32"/>
          <w:szCs w:val="32"/>
        </w:rPr>
        <w:t xml:space="preserve">  </w:t>
      </w:r>
      <w:r w:rsidRPr="0058273D">
        <w:rPr>
          <w:rFonts w:ascii="仿宋_GB2312" w:eastAsia="仿宋_GB2312" w:hAnsi="方正仿宋简体" w:cs="方正仿宋简体" w:hint="eastAsia"/>
          <w:bCs/>
          <w:sz w:val="32"/>
          <w:szCs w:val="32"/>
        </w:rPr>
        <w:t>支持盐业企业、技术中心、检测中心和行业标准化组织等开展协同创新，促进行业技术升级、标准研制和产学</w:t>
      </w:r>
      <w:r w:rsidRPr="0058273D">
        <w:rPr>
          <w:rFonts w:ascii="仿宋_GB2312" w:eastAsia="仿宋_GB2312" w:hAnsi="方正仿宋简体" w:cs="方正仿宋简体" w:hint="eastAsia"/>
          <w:bCs/>
          <w:sz w:val="32"/>
          <w:szCs w:val="32"/>
        </w:rPr>
        <w:lastRenderedPageBreak/>
        <w:t>研用融合发展。</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仿宋_GB2312" w:hAnsi="方正仿宋简体" w:cs="方正仿宋简体" w:hint="eastAsia"/>
          <w:bCs/>
          <w:sz w:val="32"/>
          <w:szCs w:val="32"/>
        </w:rPr>
        <w:t>鼓励盐业企业运用现代化信息技术对传统产业进行数字化升级改造，大力发展电子商务、连锁经营、物流配送等现代流通方式，开展综合性商品流通业务。</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黑体" w:hAnsi="方正楷体简体" w:cs="方正楷体简体" w:hint="eastAsia"/>
          <w:bCs/>
          <w:sz w:val="32"/>
          <w:szCs w:val="32"/>
        </w:rPr>
        <w:t>第六条</w:t>
      </w:r>
      <w:r w:rsidRPr="0058273D">
        <w:rPr>
          <w:rFonts w:ascii="仿宋_GB2312" w:eastAsia="仿宋_GB2312" w:hAnsi="方正仿宋简体" w:cs="方正仿宋简体" w:hint="eastAsia"/>
          <w:bCs/>
          <w:sz w:val="32"/>
          <w:szCs w:val="32"/>
        </w:rPr>
        <w:t xml:space="preserve">  支持盐业企业</w:t>
      </w:r>
      <w:proofErr w:type="gramStart"/>
      <w:r w:rsidRPr="0058273D">
        <w:rPr>
          <w:rFonts w:ascii="仿宋_GB2312" w:eastAsia="仿宋_GB2312" w:hAnsi="方正仿宋简体" w:cs="方正仿宋简体" w:hint="eastAsia"/>
          <w:bCs/>
          <w:sz w:val="32"/>
          <w:szCs w:val="32"/>
        </w:rPr>
        <w:t>丰富盐</w:t>
      </w:r>
      <w:proofErr w:type="gramEnd"/>
      <w:r w:rsidRPr="0058273D">
        <w:rPr>
          <w:rFonts w:ascii="仿宋_GB2312" w:eastAsia="仿宋_GB2312" w:hAnsi="方正仿宋简体" w:cs="方正仿宋简体" w:hint="eastAsia"/>
          <w:bCs/>
          <w:sz w:val="32"/>
          <w:szCs w:val="32"/>
        </w:rPr>
        <w:t>品种类，提高盐品品质，发展高品质健康盐、生活用盐、医用用盐等产品，满足市场多元化消费需求，培育井矿盐地理标志等川盐品牌。</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仿宋_GB2312" w:hAnsi="方正仿宋简体" w:cs="方正仿宋简体" w:hint="eastAsia"/>
          <w:bCs/>
          <w:sz w:val="32"/>
          <w:szCs w:val="32"/>
        </w:rPr>
        <w:t>县级以上地方人民政府盐业主管部门应当会同文化和旅游、市场监管等部门保护和合理利用盐业文化遗产，规范和指导展示传统制盐工艺的现场制售盐产品，以盐文化为载体发展地方特色旅游。</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黑体" w:hAnsi="方正楷体简体" w:cs="方正楷体简体" w:hint="eastAsia"/>
          <w:bCs/>
          <w:sz w:val="32"/>
          <w:szCs w:val="32"/>
        </w:rPr>
        <w:t>第七条</w:t>
      </w:r>
      <w:r w:rsidRPr="0058273D">
        <w:rPr>
          <w:rFonts w:ascii="仿宋_GB2312" w:eastAsia="仿宋_GB2312" w:hAnsi="方正仿宋简体" w:cs="方正仿宋简体" w:hint="eastAsia"/>
          <w:bCs/>
          <w:sz w:val="32"/>
          <w:szCs w:val="32"/>
        </w:rPr>
        <w:t xml:space="preserve">  食盐实行定点生产、定点批发制度。</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仿宋_GB2312" w:hAnsi="方正仿宋简体" w:cs="方正仿宋简体" w:hint="eastAsia"/>
          <w:bCs/>
          <w:sz w:val="32"/>
          <w:szCs w:val="32"/>
        </w:rPr>
        <w:t>在本省从事食盐生产的企业，应当依法取得省盐业主管部门颁发的食盐定点生产企业证书和省市场监管部门颁发的食品生产许可证。</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仿宋_GB2312" w:hAnsi="方正仿宋简体" w:cs="方正仿宋简体" w:hint="eastAsia"/>
          <w:bCs/>
          <w:sz w:val="32"/>
          <w:szCs w:val="32"/>
        </w:rPr>
        <w:t>在本省从事食盐批发的企业，应当依法取得省盐业主管部门颁发的食盐定点批发企业证书，或者其他省、自治区、直辖市人民政府盐业主管部门颁发的可以跨省经营的食盐定点批发企业证书。食盐定点批发企业及其批发网点应当依法取得食品经营许可，仅销售预包装食盐的应当依法进行备案。</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仿宋_GB2312" w:hAnsi="方正仿宋简体" w:cs="方正仿宋简体" w:hint="eastAsia"/>
          <w:bCs/>
          <w:sz w:val="32"/>
          <w:szCs w:val="32"/>
        </w:rPr>
        <w:t>省盐业主管部门应当向社会公布本省食盐定点生产、批发企业名单。</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黑体" w:hAnsi="方正楷体简体" w:cs="方正楷体简体" w:hint="eastAsia"/>
          <w:bCs/>
          <w:sz w:val="32"/>
          <w:szCs w:val="32"/>
        </w:rPr>
        <w:lastRenderedPageBreak/>
        <w:t>第八条</w:t>
      </w:r>
      <w:r w:rsidRPr="0058273D">
        <w:rPr>
          <w:rFonts w:ascii="仿宋_GB2312" w:eastAsia="仿宋_GB2312" w:hAnsi="方正楷体简体" w:cs="方正楷体简体" w:hint="eastAsia"/>
          <w:bCs/>
          <w:sz w:val="32"/>
          <w:szCs w:val="32"/>
        </w:rPr>
        <w:t xml:space="preserve"> </w:t>
      </w:r>
      <w:r w:rsidRPr="0058273D">
        <w:rPr>
          <w:rFonts w:ascii="仿宋_GB2312" w:eastAsia="仿宋_GB2312" w:hAnsi="方正仿宋简体" w:cs="方正仿宋简体" w:hint="eastAsia"/>
          <w:bCs/>
          <w:sz w:val="32"/>
          <w:szCs w:val="32"/>
        </w:rPr>
        <w:t xml:space="preserve"> 食盐生产经营者生产经营的食盐应当符合法律、法规、规章和食品安全标准的规定，销售的加碘食盐应当符合销往地省级卫生健康部门确定的碘含量标准，未加碘食盐应当标有清晰的适宜人群购买指引。</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仿宋_GB2312" w:hAnsi="方正仿宋简体" w:cs="方正仿宋简体" w:hint="eastAsia"/>
          <w:bCs/>
          <w:sz w:val="32"/>
          <w:szCs w:val="32"/>
        </w:rPr>
        <w:t>食盐应当在包装上加贴追溯标识，印制食盐定点生产企业证书编号。 鼓励食盐定点生产企业按照国家标准和有关规定在食盐包装上印制健康用盐知识。</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仿宋_GB2312" w:hAnsi="方正仿宋简体" w:cs="方正仿宋简体" w:hint="eastAsia"/>
          <w:bCs/>
          <w:sz w:val="32"/>
          <w:szCs w:val="32"/>
        </w:rPr>
        <w:t>工业用盐等非食用盐的名称、包装、标识等应当明显区别于食盐，并在包装上标明禁止食用等字样。</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黑体" w:hAnsi="方正楷体简体" w:cs="方正楷体简体" w:hint="eastAsia"/>
          <w:bCs/>
          <w:sz w:val="32"/>
          <w:szCs w:val="32"/>
        </w:rPr>
        <w:t>第九条</w:t>
      </w:r>
      <w:r w:rsidRPr="0058273D">
        <w:rPr>
          <w:rFonts w:ascii="仿宋_GB2312" w:eastAsia="仿宋_GB2312" w:hAnsi="方正楷体简体" w:cs="方正楷体简体" w:hint="eastAsia"/>
          <w:bCs/>
          <w:sz w:val="32"/>
          <w:szCs w:val="32"/>
        </w:rPr>
        <w:t xml:space="preserve">  </w:t>
      </w:r>
      <w:r w:rsidRPr="0058273D">
        <w:rPr>
          <w:rFonts w:ascii="仿宋_GB2312" w:eastAsia="仿宋_GB2312" w:hAnsi="方正仿宋简体" w:cs="方正仿宋简体" w:hint="eastAsia"/>
          <w:bCs/>
          <w:sz w:val="32"/>
          <w:szCs w:val="32"/>
        </w:rPr>
        <w:t>食盐的贮存、运输应当符合食品安全要求，相关场所、贮存和运输的容器、工具应当清洁、干燥，不得与有毒、有害物品或者可能导致食盐污染的货物一同贮存、运输。加碘食盐和未加碘食盐在储存场地应当分开存放，做到防晒、防潮、安全、卫生。</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仿宋_GB2312" w:hAnsi="方正仿宋简体" w:cs="方正仿宋简体" w:hint="eastAsia"/>
          <w:bCs/>
          <w:sz w:val="32"/>
          <w:szCs w:val="32"/>
        </w:rPr>
        <w:t>同时贮存、运输食盐和工业用盐等非食用盐的企业应当建立分类管理的制度。</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黑体" w:hAnsi="方正楷体简体" w:cs="方正楷体简体" w:hint="eastAsia"/>
          <w:bCs/>
          <w:sz w:val="32"/>
          <w:szCs w:val="32"/>
        </w:rPr>
        <w:t>第十条</w:t>
      </w:r>
      <w:r w:rsidRPr="0058273D">
        <w:rPr>
          <w:rFonts w:ascii="仿宋_GB2312" w:eastAsia="仿宋_GB2312" w:hAnsi="方正楷体简体" w:cs="方正楷体简体" w:hint="eastAsia"/>
          <w:bCs/>
          <w:sz w:val="32"/>
          <w:szCs w:val="32"/>
        </w:rPr>
        <w:t xml:space="preserve">  </w:t>
      </w:r>
      <w:r w:rsidRPr="0058273D">
        <w:rPr>
          <w:rFonts w:ascii="仿宋_GB2312" w:eastAsia="仿宋_GB2312" w:hAnsi="方正仿宋简体" w:cs="方正仿宋简体" w:hint="eastAsia"/>
          <w:bCs/>
          <w:sz w:val="32"/>
          <w:szCs w:val="32"/>
        </w:rPr>
        <w:t>除自产自销外，食盐定点批发企业销售的食盐应当从食盐定点生产企业或者其他食盐定点批发企业购进。</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仿宋_GB2312" w:hAnsi="方正仿宋简体" w:cs="方正仿宋简体" w:hint="eastAsia"/>
          <w:bCs/>
          <w:sz w:val="32"/>
          <w:szCs w:val="32"/>
        </w:rPr>
        <w:t>食盐定点批发企业购进食盐时应当查验供货者资质、食盐合格证明文件并取得增值税发票，批发食盐时应当主动出示食盐定点批发企业证书、食盐合格证明文件并向进货者出具增值税发票。</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仿宋_GB2312" w:hAnsi="方正仿宋简体" w:cs="方正仿宋简体" w:hint="eastAsia"/>
          <w:bCs/>
          <w:sz w:val="32"/>
          <w:szCs w:val="32"/>
        </w:rPr>
        <w:lastRenderedPageBreak/>
        <w:t>食盐零售单位应当从食盐定点批发企业购进食盐，查验供货者资质、食盐合格证明文件，如实记录并保存发票等相关凭证。</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黑体" w:hAnsi="方正楷体简体" w:cs="方正楷体简体" w:hint="eastAsia"/>
          <w:bCs/>
          <w:sz w:val="32"/>
          <w:szCs w:val="32"/>
        </w:rPr>
        <w:t>第十一条</w:t>
      </w:r>
      <w:r w:rsidRPr="0058273D">
        <w:rPr>
          <w:rFonts w:ascii="仿宋_GB2312" w:eastAsia="仿宋_GB2312" w:hAnsi="方正楷体简体" w:cs="方正楷体简体" w:hint="eastAsia"/>
          <w:bCs/>
          <w:sz w:val="32"/>
          <w:szCs w:val="32"/>
        </w:rPr>
        <w:t xml:space="preserve"> </w:t>
      </w:r>
      <w:r w:rsidRPr="0058273D">
        <w:rPr>
          <w:rFonts w:ascii="仿宋_GB2312" w:eastAsia="仿宋_GB2312" w:hAnsi="方正仿宋简体" w:cs="方正仿宋简体" w:hint="eastAsia"/>
          <w:bCs/>
          <w:sz w:val="32"/>
          <w:szCs w:val="32"/>
        </w:rPr>
        <w:t xml:space="preserve"> 食盐定点生产企业和工业用盐等非食用盐生产企业应当依法记录生产、采购、销售、贮存等信息并保存相关凭证；食盐定点批发企业应当依法记录购进和销售食盐的品种、名称、规格、数量、生产日期或者生产批号、保质期、交易日期以及交易方名称、地址、联系方式等信息并保存相关凭证；记录和凭证保存期限不得少于2年。</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黑体" w:hAnsi="方正楷体简体" w:cs="方正楷体简体" w:hint="eastAsia"/>
          <w:bCs/>
          <w:sz w:val="32"/>
          <w:szCs w:val="32"/>
        </w:rPr>
        <w:t>第十二条</w:t>
      </w:r>
      <w:r w:rsidRPr="0058273D">
        <w:rPr>
          <w:rFonts w:ascii="仿宋_GB2312" w:eastAsia="仿宋_GB2312" w:hAnsi="方正楷体简体" w:cs="方正楷体简体" w:hint="eastAsia"/>
          <w:bCs/>
          <w:sz w:val="32"/>
          <w:szCs w:val="32"/>
        </w:rPr>
        <w:t xml:space="preserve"> </w:t>
      </w:r>
      <w:r w:rsidRPr="0058273D">
        <w:rPr>
          <w:rFonts w:ascii="仿宋_GB2312" w:eastAsia="仿宋_GB2312" w:hAnsi="方正仿宋简体" w:cs="方正仿宋简体" w:hint="eastAsia"/>
          <w:bCs/>
          <w:sz w:val="32"/>
          <w:szCs w:val="32"/>
        </w:rPr>
        <w:t xml:space="preserve"> 省盐业主管部门应当组织食盐定点批发企业供应未加碘食盐，满足特定人群需求。未加碘食盐销售网</w:t>
      </w:r>
      <w:proofErr w:type="gramStart"/>
      <w:r w:rsidRPr="0058273D">
        <w:rPr>
          <w:rFonts w:ascii="仿宋_GB2312" w:eastAsia="仿宋_GB2312" w:hAnsi="方正仿宋简体" w:cs="方正仿宋简体" w:hint="eastAsia"/>
          <w:bCs/>
          <w:sz w:val="32"/>
          <w:szCs w:val="32"/>
        </w:rPr>
        <w:t>点应当</w:t>
      </w:r>
      <w:proofErr w:type="gramEnd"/>
      <w:r w:rsidRPr="0058273D">
        <w:rPr>
          <w:rFonts w:ascii="仿宋_GB2312" w:eastAsia="仿宋_GB2312" w:hAnsi="方正仿宋简体" w:cs="方正仿宋简体" w:hint="eastAsia"/>
          <w:bCs/>
          <w:sz w:val="32"/>
          <w:szCs w:val="32"/>
        </w:rPr>
        <w:t>合理布局、挂牌经营，并通过网络等便于消费者查询的方式公布未加碘食盐销售网点名称、地址、联系方式等信息。</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仿宋_GB2312" w:hAnsi="方正仿宋简体" w:cs="方正仿宋简体" w:hint="eastAsia"/>
          <w:bCs/>
          <w:sz w:val="32"/>
          <w:szCs w:val="32"/>
        </w:rPr>
        <w:t>省卫生健康部门负责划定碘缺乏地区，确定本省执行的食盐碘含量标准并向社会公布，指导公众合理选择加碘食盐或者未加碘食盐。</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仿宋_GB2312" w:hAnsi="方正仿宋简体" w:cs="方正仿宋简体" w:hint="eastAsia"/>
          <w:bCs/>
          <w:sz w:val="32"/>
          <w:szCs w:val="32"/>
        </w:rPr>
        <w:t>县级以上卫生健康部门应当按照国家有关规定定期组织开展本行政区域内人群碘营养水平、</w:t>
      </w:r>
      <w:proofErr w:type="gramStart"/>
      <w:r w:rsidRPr="0058273D">
        <w:rPr>
          <w:rFonts w:ascii="仿宋_GB2312" w:eastAsia="仿宋_GB2312" w:hAnsi="方正仿宋简体" w:cs="方正仿宋简体" w:hint="eastAsia"/>
          <w:bCs/>
          <w:sz w:val="32"/>
          <w:szCs w:val="32"/>
        </w:rPr>
        <w:t>水碘含量</w:t>
      </w:r>
      <w:proofErr w:type="gramEnd"/>
      <w:r w:rsidRPr="0058273D">
        <w:rPr>
          <w:rFonts w:ascii="仿宋_GB2312" w:eastAsia="仿宋_GB2312" w:hAnsi="方正仿宋简体" w:cs="方正仿宋简体" w:hint="eastAsia"/>
          <w:bCs/>
          <w:sz w:val="32"/>
          <w:szCs w:val="32"/>
        </w:rPr>
        <w:t>、食盐碘含量、碘缺乏危害等相关监测评估工作。</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黑体" w:hAnsi="方正楷体简体" w:cs="方正楷体简体" w:hint="eastAsia"/>
          <w:bCs/>
          <w:sz w:val="32"/>
          <w:szCs w:val="32"/>
        </w:rPr>
        <w:t>第十三条</w:t>
      </w:r>
      <w:r w:rsidRPr="0058273D">
        <w:rPr>
          <w:rFonts w:ascii="仿宋_GB2312" w:eastAsia="仿宋_GB2312" w:hAnsi="方正楷体简体" w:cs="方正楷体简体" w:hint="eastAsia"/>
          <w:bCs/>
          <w:sz w:val="32"/>
          <w:szCs w:val="32"/>
        </w:rPr>
        <w:t xml:space="preserve"> </w:t>
      </w:r>
      <w:r w:rsidRPr="0058273D">
        <w:rPr>
          <w:rFonts w:ascii="仿宋_GB2312" w:eastAsia="仿宋_GB2312" w:hAnsi="方正仿宋简体" w:cs="方正仿宋简体" w:hint="eastAsia"/>
          <w:bCs/>
          <w:sz w:val="32"/>
          <w:szCs w:val="32"/>
        </w:rPr>
        <w:t xml:space="preserve"> 通过互联网等信息网络从事食盐经营活动的，应当在其主页</w:t>
      </w:r>
      <w:proofErr w:type="gramStart"/>
      <w:r w:rsidRPr="0058273D">
        <w:rPr>
          <w:rFonts w:ascii="仿宋_GB2312" w:eastAsia="仿宋_GB2312" w:hAnsi="方正仿宋简体" w:cs="方正仿宋简体" w:hint="eastAsia"/>
          <w:bCs/>
          <w:sz w:val="32"/>
          <w:szCs w:val="32"/>
        </w:rPr>
        <w:t>面显著</w:t>
      </w:r>
      <w:proofErr w:type="gramEnd"/>
      <w:r w:rsidRPr="0058273D">
        <w:rPr>
          <w:rFonts w:ascii="仿宋_GB2312" w:eastAsia="仿宋_GB2312" w:hAnsi="方正仿宋简体" w:cs="方正仿宋简体" w:hint="eastAsia"/>
          <w:bCs/>
          <w:sz w:val="32"/>
          <w:szCs w:val="32"/>
        </w:rPr>
        <w:t>位置持续公示相关证照等信息；从事食盐批发活动的，应当公示食盐定点批发企业证书。</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仿宋_GB2312" w:hAnsi="方正仿宋简体" w:cs="方正仿宋简体" w:hint="eastAsia"/>
          <w:bCs/>
          <w:sz w:val="32"/>
          <w:szCs w:val="32"/>
        </w:rPr>
        <w:lastRenderedPageBreak/>
        <w:t>电子商务平台经营者应当对申请进入平台销售食盐的经营者进行实名登记，审查相关许可证，明确其食品安全管理责任。</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仿宋_GB2312" w:hAnsi="方正仿宋简体" w:cs="方正仿宋简体" w:hint="eastAsia"/>
          <w:bCs/>
          <w:sz w:val="32"/>
          <w:szCs w:val="32"/>
        </w:rPr>
        <w:t>电子商务平台经营者发现平台内食盐经营者有违法行为的，应当依法采取必要的处置措施并立即报告市场监管部门或者盐业主管部门。</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黑体" w:hAnsi="方正楷体简体" w:cs="方正楷体简体" w:hint="eastAsia"/>
          <w:bCs/>
          <w:sz w:val="32"/>
          <w:szCs w:val="32"/>
        </w:rPr>
        <w:t>第十四条</w:t>
      </w:r>
      <w:r w:rsidRPr="0058273D">
        <w:rPr>
          <w:rFonts w:ascii="仿宋_GB2312" w:eastAsia="仿宋_GB2312" w:hAnsi="方正楷体简体" w:cs="方正楷体简体" w:hint="eastAsia"/>
          <w:bCs/>
          <w:sz w:val="32"/>
          <w:szCs w:val="32"/>
        </w:rPr>
        <w:t xml:space="preserve"> </w:t>
      </w:r>
      <w:r w:rsidRPr="0058273D">
        <w:rPr>
          <w:rFonts w:ascii="仿宋_GB2312" w:eastAsia="仿宋_GB2312" w:hAnsi="方正仿宋简体" w:cs="方正仿宋简体" w:hint="eastAsia"/>
          <w:bCs/>
          <w:sz w:val="32"/>
          <w:szCs w:val="32"/>
        </w:rPr>
        <w:t xml:space="preserve"> 省人民政府应当采取必要措施，保障民族自治州的食盐供应。省级财政应当按照有关规定对民族自治州给予食盐运销费用补贴。</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仿宋_GB2312" w:hAnsi="方正仿宋简体" w:cs="方正仿宋简体" w:hint="eastAsia"/>
          <w:bCs/>
          <w:sz w:val="32"/>
          <w:szCs w:val="32"/>
        </w:rPr>
        <w:t>民族自治州人民政府应当建立健全食盐供应保障机制，制定符合州情的保障食盐供应实施方案，确保当地食盐持续稳定供应。</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仿宋_GB2312" w:hAnsi="方正仿宋简体" w:cs="方正仿宋简体" w:hint="eastAsia"/>
          <w:bCs/>
          <w:sz w:val="32"/>
          <w:szCs w:val="32"/>
        </w:rPr>
        <w:t>各市（州）人民政府按照保障食盐供应的要求，可以结合实际给予所辖民族地区食盐运销费用补贴。</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黑体" w:hAnsi="方正楷体简体" w:cs="方正楷体简体" w:hint="eastAsia"/>
          <w:bCs/>
          <w:sz w:val="32"/>
          <w:szCs w:val="32"/>
        </w:rPr>
        <w:t>第十五条</w:t>
      </w:r>
      <w:r w:rsidRPr="0058273D">
        <w:rPr>
          <w:rFonts w:ascii="仿宋_GB2312" w:eastAsia="仿宋_GB2312" w:hAnsi="方正楷体简体" w:cs="方正楷体简体" w:hint="eastAsia"/>
          <w:bCs/>
          <w:sz w:val="32"/>
          <w:szCs w:val="32"/>
        </w:rPr>
        <w:t xml:space="preserve"> </w:t>
      </w:r>
      <w:r w:rsidRPr="0058273D">
        <w:rPr>
          <w:rFonts w:ascii="仿宋_GB2312" w:eastAsia="仿宋_GB2312" w:hAnsi="方正仿宋简体" w:cs="方正仿宋简体" w:hint="eastAsia"/>
          <w:bCs/>
          <w:sz w:val="32"/>
          <w:szCs w:val="32"/>
        </w:rPr>
        <w:t xml:space="preserve"> 省盐业主管部门应当建立健全食盐储备制度，承担政府食盐储备责任。</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仿宋_GB2312" w:hAnsi="方正仿宋简体" w:cs="方正仿宋简体" w:hint="eastAsia"/>
          <w:bCs/>
          <w:sz w:val="32"/>
          <w:szCs w:val="32"/>
        </w:rPr>
        <w:t>政府食盐储备规模由省盐业主管部门会同财政部门提出建议，报省人民政府确定。省级财政应当按照有关规定给予相关费用补贴。</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仿宋_GB2312" w:hAnsi="方正仿宋简体" w:cs="方正仿宋简体" w:hint="eastAsia"/>
          <w:bCs/>
          <w:sz w:val="32"/>
          <w:szCs w:val="32"/>
        </w:rPr>
        <w:t>食盐定点生产企业和在本省经营的食盐定点批发企业应当按照国家和本省规定承担企业食盐储备的社会责任，保持食盐合理库存。</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黑体" w:hAnsi="方正楷体简体" w:cs="方正楷体简体" w:hint="eastAsia"/>
          <w:bCs/>
          <w:sz w:val="32"/>
          <w:szCs w:val="32"/>
        </w:rPr>
        <w:t>第十六条</w:t>
      </w:r>
      <w:r w:rsidRPr="0058273D">
        <w:rPr>
          <w:rFonts w:ascii="仿宋_GB2312" w:eastAsia="仿宋_GB2312" w:hAnsi="方正仿宋简体" w:cs="方正仿宋简体" w:hint="eastAsia"/>
          <w:bCs/>
          <w:sz w:val="32"/>
          <w:szCs w:val="32"/>
        </w:rPr>
        <w:t xml:space="preserve">  县级以上地方人民政府盐业主管部门应当会同</w:t>
      </w:r>
      <w:r w:rsidRPr="0058273D">
        <w:rPr>
          <w:rFonts w:ascii="仿宋_GB2312" w:eastAsia="仿宋_GB2312" w:hAnsi="方正仿宋简体" w:cs="方正仿宋简体" w:hint="eastAsia"/>
          <w:bCs/>
          <w:sz w:val="32"/>
          <w:szCs w:val="32"/>
        </w:rPr>
        <w:lastRenderedPageBreak/>
        <w:t>有关部门制定本行政区域内的食盐供应应急预案，在发生突发事件时采取投放政府储备、调运企业储备等应急措施协调、保障食盐供应。</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仿宋_GB2312" w:hAnsi="方正仿宋简体" w:cs="方正仿宋简体" w:hint="eastAsia"/>
          <w:bCs/>
          <w:sz w:val="32"/>
          <w:szCs w:val="32"/>
        </w:rPr>
        <w:t>县级以上地方人民政府发展改革部门和市场监管部门应当会同盐业主管部门依法开展食盐零售价格市场监测和监督检查工作。当食盐价格出现显著上涨等异常波动时，县级以上地方人民政府发展改革部门配合盐业主管部门依法采取干预措施，保持食盐价格基本稳定。</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黑体" w:hAnsi="方正楷体简体" w:cs="方正楷体简体" w:hint="eastAsia"/>
          <w:bCs/>
          <w:sz w:val="32"/>
          <w:szCs w:val="32"/>
        </w:rPr>
        <w:t>第十七条</w:t>
      </w:r>
      <w:r w:rsidRPr="0058273D">
        <w:rPr>
          <w:rFonts w:ascii="仿宋_GB2312" w:eastAsia="仿宋_GB2312" w:hAnsi="方正楷体简体" w:cs="方正楷体简体" w:hint="eastAsia"/>
          <w:bCs/>
          <w:sz w:val="32"/>
          <w:szCs w:val="32"/>
        </w:rPr>
        <w:t xml:space="preserve"> </w:t>
      </w:r>
      <w:r w:rsidRPr="0058273D">
        <w:rPr>
          <w:rFonts w:ascii="仿宋_GB2312" w:eastAsia="仿宋_GB2312" w:hAnsi="方正仿宋简体" w:cs="方正仿宋简体" w:hint="eastAsia"/>
          <w:bCs/>
          <w:sz w:val="32"/>
          <w:szCs w:val="32"/>
        </w:rPr>
        <w:t xml:space="preserve"> 支持盐业协会发挥协调沟通和行业自律的作用。</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仿宋_GB2312" w:hAnsi="方正仿宋简体" w:cs="方正仿宋简体" w:hint="eastAsia"/>
          <w:bCs/>
          <w:sz w:val="32"/>
          <w:szCs w:val="32"/>
        </w:rPr>
        <w:t>盐业主管部门和市场监管等部门应当将食盐定点生产、批发企业及其负责人和高管人员守法诚信经营情况和违法行为纳入信用记录并向国家和省有关信用信息平台归集，依据信用情况采取差异化监管措施。</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黑体" w:hAnsi="方正楷体简体" w:cs="方正楷体简体" w:hint="eastAsia"/>
          <w:bCs/>
          <w:sz w:val="32"/>
          <w:szCs w:val="32"/>
        </w:rPr>
        <w:t>第十八条</w:t>
      </w:r>
      <w:r w:rsidRPr="0058273D">
        <w:rPr>
          <w:rFonts w:ascii="仿宋_GB2312" w:eastAsia="仿宋_GB2312" w:hAnsi="方正仿宋简体" w:cs="方正仿宋简体" w:hint="eastAsia"/>
          <w:bCs/>
          <w:sz w:val="32"/>
          <w:szCs w:val="32"/>
        </w:rPr>
        <w:t xml:space="preserve">  盐业主管部门和市场监管部门在依法履行监督检查职责过程中应当开展必要的行政指导，发现食盐定点生产企业、在本省开展经营的食盐定点批发企业以及电子商务平台经营者违反本条例的，可以对其法定代表人、主要负责人及相关人员进行约谈。</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黑体" w:hAnsi="方正楷体简体" w:cs="方正楷体简体" w:hint="eastAsia"/>
          <w:bCs/>
          <w:sz w:val="32"/>
          <w:szCs w:val="32"/>
        </w:rPr>
        <w:t>第十九条</w:t>
      </w:r>
      <w:r w:rsidRPr="0058273D">
        <w:rPr>
          <w:rFonts w:ascii="仿宋_GB2312" w:eastAsia="仿宋_GB2312" w:hAnsi="方正楷体简体" w:cs="方正楷体简体" w:hint="eastAsia"/>
          <w:bCs/>
          <w:sz w:val="32"/>
          <w:szCs w:val="32"/>
        </w:rPr>
        <w:t xml:space="preserve"> </w:t>
      </w:r>
      <w:r w:rsidRPr="0058273D">
        <w:rPr>
          <w:rFonts w:ascii="仿宋_GB2312" w:eastAsia="仿宋_GB2312" w:hAnsi="方正仿宋简体" w:cs="方正仿宋简体" w:hint="eastAsia"/>
          <w:bCs/>
          <w:sz w:val="32"/>
          <w:szCs w:val="32"/>
        </w:rPr>
        <w:t xml:space="preserve"> 违反本条例的行为，法律、法规、规章已有规定的，从其规定。</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黑体" w:hAnsi="方正楷体简体" w:cs="方正楷体简体" w:hint="eastAsia"/>
          <w:bCs/>
          <w:sz w:val="32"/>
          <w:szCs w:val="32"/>
        </w:rPr>
        <w:t>第二十条</w:t>
      </w:r>
      <w:r w:rsidRPr="0058273D">
        <w:rPr>
          <w:rFonts w:ascii="仿宋_GB2312" w:eastAsia="仿宋_GB2312" w:hAnsi="方正仿宋简体" w:cs="方正仿宋简体" w:hint="eastAsia"/>
          <w:bCs/>
          <w:sz w:val="32"/>
          <w:szCs w:val="32"/>
        </w:rPr>
        <w:t xml:space="preserve">  违反本条例第八条第二款、第三款规定，未在食盐包装上加贴追溯标识、印制食盐定点生产企业证书编号，</w:t>
      </w:r>
      <w:r w:rsidRPr="0058273D">
        <w:rPr>
          <w:rFonts w:ascii="仿宋_GB2312" w:eastAsia="仿宋_GB2312" w:hAnsi="方正仿宋简体" w:cs="方正仿宋简体" w:hint="eastAsia"/>
          <w:bCs/>
          <w:sz w:val="32"/>
          <w:szCs w:val="32"/>
        </w:rPr>
        <w:lastRenderedPageBreak/>
        <w:t>或者工业用盐等非</w:t>
      </w:r>
      <w:proofErr w:type="gramStart"/>
      <w:r w:rsidRPr="0058273D">
        <w:rPr>
          <w:rFonts w:ascii="仿宋_GB2312" w:eastAsia="仿宋_GB2312" w:hAnsi="方正仿宋简体" w:cs="方正仿宋简体" w:hint="eastAsia"/>
          <w:bCs/>
          <w:sz w:val="32"/>
          <w:szCs w:val="32"/>
        </w:rPr>
        <w:t>食用盐未按照</w:t>
      </w:r>
      <w:proofErr w:type="gramEnd"/>
      <w:r w:rsidRPr="0058273D">
        <w:rPr>
          <w:rFonts w:ascii="仿宋_GB2312" w:eastAsia="仿宋_GB2312" w:hAnsi="方正仿宋简体" w:cs="方正仿宋简体" w:hint="eastAsia"/>
          <w:bCs/>
          <w:sz w:val="32"/>
          <w:szCs w:val="32"/>
        </w:rPr>
        <w:t>国家规定在包装上</w:t>
      </w:r>
      <w:proofErr w:type="gramStart"/>
      <w:r w:rsidRPr="0058273D">
        <w:rPr>
          <w:rFonts w:ascii="仿宋_GB2312" w:eastAsia="仿宋_GB2312" w:hAnsi="方正仿宋简体" w:cs="方正仿宋简体" w:hint="eastAsia"/>
          <w:bCs/>
          <w:sz w:val="32"/>
          <w:szCs w:val="32"/>
        </w:rPr>
        <w:t>作出</w:t>
      </w:r>
      <w:proofErr w:type="gramEnd"/>
      <w:r w:rsidRPr="0058273D">
        <w:rPr>
          <w:rFonts w:ascii="仿宋_GB2312" w:eastAsia="仿宋_GB2312" w:hAnsi="方正仿宋简体" w:cs="方正仿宋简体" w:hint="eastAsia"/>
          <w:bCs/>
          <w:sz w:val="32"/>
          <w:szCs w:val="32"/>
        </w:rPr>
        <w:t>标识的，由县级以上地方人民政府盐业主管部门责令改正，可以处五万元以下的罚款。</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黑体" w:hAnsi="方正楷体简体" w:cs="方正楷体简体" w:hint="eastAsia"/>
          <w:bCs/>
          <w:sz w:val="32"/>
          <w:szCs w:val="32"/>
        </w:rPr>
        <w:t>第二十一条</w:t>
      </w:r>
      <w:r w:rsidRPr="0058273D">
        <w:rPr>
          <w:rFonts w:ascii="仿宋_GB2312" w:eastAsia="仿宋_GB2312" w:hAnsi="方正仿宋简体" w:cs="方正仿宋简体" w:hint="eastAsia"/>
          <w:bCs/>
          <w:sz w:val="32"/>
          <w:szCs w:val="32"/>
        </w:rPr>
        <w:t xml:space="preserve">  本条例下列用语的含义： </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仿宋_GB2312" w:hAnsi="方正仿宋简体" w:cs="方正仿宋简体" w:hint="eastAsia"/>
          <w:bCs/>
          <w:sz w:val="32"/>
          <w:szCs w:val="32"/>
        </w:rPr>
        <w:t>食盐是指以氯化钠为主要成分，直接食用和用于食品加工的盐。</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仿宋_GB2312" w:hAnsi="方正仿宋简体" w:cs="方正仿宋简体" w:hint="eastAsia"/>
          <w:bCs/>
          <w:sz w:val="32"/>
          <w:szCs w:val="32"/>
        </w:rPr>
        <w:t xml:space="preserve">食盐批发，是指食盐定点批发企业向其他食盐定点批发企业、零售单位（含个体经营者），以及直接对食品加工企业（含个体工商户）、餐饮、酒店及商业性集中用餐单位等销售食盐的活动。 </w:t>
      </w:r>
    </w:p>
    <w:p w:rsidR="00DF4A61" w:rsidRPr="0058273D" w:rsidRDefault="002A7046" w:rsidP="0058273D">
      <w:pPr>
        <w:spacing w:line="580" w:lineRule="exact"/>
        <w:ind w:firstLineChars="200" w:firstLine="640"/>
        <w:rPr>
          <w:rFonts w:ascii="仿宋_GB2312" w:eastAsia="仿宋_GB2312" w:hAnsi="方正仿宋简体" w:cs="方正仿宋简体" w:hint="eastAsia"/>
          <w:bCs/>
          <w:sz w:val="32"/>
          <w:szCs w:val="32"/>
        </w:rPr>
      </w:pPr>
      <w:r w:rsidRPr="0058273D">
        <w:rPr>
          <w:rFonts w:ascii="仿宋_GB2312" w:eastAsia="仿宋_GB2312" w:hAnsi="方正仿宋简体" w:cs="方正仿宋简体" w:hint="eastAsia"/>
          <w:bCs/>
          <w:sz w:val="32"/>
          <w:szCs w:val="32"/>
        </w:rPr>
        <w:t>食盐零售，是指超市、零售商店、售货摊点等向直接食用的城乡居民和非经营性集体食堂销售食盐的活动。</w:t>
      </w:r>
    </w:p>
    <w:p w:rsidR="00DF4A61" w:rsidRPr="0058273D" w:rsidRDefault="002A7046" w:rsidP="0058273D">
      <w:pPr>
        <w:spacing w:line="580" w:lineRule="exact"/>
        <w:ind w:firstLineChars="200" w:firstLine="640"/>
      </w:pPr>
      <w:r w:rsidRPr="0058273D">
        <w:rPr>
          <w:rFonts w:ascii="仿宋_GB2312" w:eastAsia="黑体" w:hAnsi="方正楷体简体" w:cs="方正楷体简体" w:hint="eastAsia"/>
          <w:bCs/>
          <w:sz w:val="32"/>
          <w:szCs w:val="32"/>
        </w:rPr>
        <w:t>第二十二条</w:t>
      </w:r>
      <w:r w:rsidRPr="0058273D">
        <w:rPr>
          <w:rFonts w:ascii="仿宋_GB2312" w:eastAsia="仿宋_GB2312" w:hAnsi="方正楷体简体" w:cs="方正楷体简体" w:hint="eastAsia"/>
          <w:bCs/>
          <w:sz w:val="32"/>
          <w:szCs w:val="32"/>
        </w:rPr>
        <w:t xml:space="preserve"> </w:t>
      </w:r>
      <w:r w:rsidRPr="0058273D">
        <w:rPr>
          <w:rFonts w:ascii="仿宋_GB2312" w:eastAsia="仿宋_GB2312" w:hAnsi="方正仿宋简体" w:cs="方正仿宋简体" w:hint="eastAsia"/>
          <w:bCs/>
          <w:sz w:val="32"/>
          <w:szCs w:val="32"/>
        </w:rPr>
        <w:t xml:space="preserve"> 本条</w:t>
      </w:r>
      <w:r w:rsidRPr="0058273D">
        <w:rPr>
          <w:rFonts w:ascii="仿宋_GB2312" w:eastAsia="仿宋_GB2312" w:hint="eastAsia"/>
          <w:bCs/>
          <w:sz w:val="32"/>
          <w:szCs w:val="32"/>
        </w:rPr>
        <w:t>例自</w:t>
      </w:r>
      <w:bookmarkStart w:id="0" w:name="_GoBack"/>
      <w:bookmarkEnd w:id="0"/>
      <w:r w:rsidRPr="0058273D">
        <w:rPr>
          <w:rFonts w:ascii="仿宋_GB2312" w:eastAsia="仿宋_GB2312" w:hint="eastAsia"/>
          <w:bCs/>
          <w:sz w:val="32"/>
          <w:szCs w:val="32"/>
        </w:rPr>
        <w:t>2023年1月1日起施行</w:t>
      </w:r>
      <w:r w:rsidRPr="0058273D">
        <w:rPr>
          <w:rFonts w:ascii="仿宋_GB2312" w:eastAsia="仿宋_GB2312" w:hAnsi="方正仿宋简体" w:cs="方正仿宋简体" w:hint="eastAsia"/>
          <w:bCs/>
          <w:sz w:val="32"/>
          <w:szCs w:val="32"/>
        </w:rPr>
        <w:t>。</w:t>
      </w:r>
    </w:p>
    <w:sectPr w:rsidR="00DF4A61" w:rsidRPr="0058273D" w:rsidSect="0058273D">
      <w:footerReference w:type="even" r:id="rId8"/>
      <w:footerReference w:type="default" r:id="rId9"/>
      <w:pgSz w:w="11906" w:h="16838"/>
      <w:pgMar w:top="2098" w:right="1588" w:bottom="1814" w:left="1588" w:header="851" w:footer="51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01ED" w:rsidRDefault="002A7046">
      <w:r>
        <w:separator/>
      </w:r>
    </w:p>
  </w:endnote>
  <w:endnote w:type="continuationSeparator" w:id="0">
    <w:p w:rsidR="002F01ED" w:rsidRDefault="002A7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4257223"/>
      <w:docPartObj>
        <w:docPartGallery w:val="Page Numbers (Bottom of Page)"/>
        <w:docPartUnique/>
      </w:docPartObj>
    </w:sdtPr>
    <w:sdtEndPr>
      <w:rPr>
        <w:rFonts w:asciiTheme="minorEastAsia" w:eastAsiaTheme="minorEastAsia" w:hAnsiTheme="minorEastAsia"/>
        <w:sz w:val="28"/>
        <w:szCs w:val="28"/>
      </w:rPr>
    </w:sdtEndPr>
    <w:sdtContent>
      <w:p w:rsidR="0058273D" w:rsidRPr="0058273D" w:rsidRDefault="0058273D" w:rsidP="0058273D">
        <w:pPr>
          <w:pStyle w:val="a5"/>
          <w:ind w:firstLineChars="200" w:firstLine="360"/>
          <w:rPr>
            <w:rFonts w:asciiTheme="minorEastAsia" w:eastAsiaTheme="minorEastAsia" w:hAnsiTheme="minorEastAsia"/>
            <w:sz w:val="28"/>
            <w:szCs w:val="28"/>
          </w:rPr>
        </w:pPr>
        <w:r w:rsidRPr="0058273D">
          <w:rPr>
            <w:rFonts w:asciiTheme="minorEastAsia" w:eastAsiaTheme="minorEastAsia" w:hAnsiTheme="minorEastAsia"/>
            <w:sz w:val="28"/>
            <w:szCs w:val="28"/>
          </w:rPr>
          <w:t>—</w:t>
        </w:r>
        <w:r w:rsidRPr="0058273D">
          <w:rPr>
            <w:rFonts w:asciiTheme="minorEastAsia" w:eastAsiaTheme="minorEastAsia" w:hAnsiTheme="minorEastAsia" w:hint="eastAsia"/>
            <w:sz w:val="28"/>
            <w:szCs w:val="28"/>
          </w:rPr>
          <w:t xml:space="preserve"> </w:t>
        </w:r>
        <w:r w:rsidRPr="0058273D">
          <w:rPr>
            <w:rFonts w:asciiTheme="minorEastAsia" w:eastAsiaTheme="minorEastAsia" w:hAnsiTheme="minorEastAsia"/>
            <w:sz w:val="28"/>
            <w:szCs w:val="28"/>
          </w:rPr>
          <w:fldChar w:fldCharType="begin"/>
        </w:r>
        <w:r w:rsidRPr="0058273D">
          <w:rPr>
            <w:rFonts w:asciiTheme="minorEastAsia" w:eastAsiaTheme="minorEastAsia" w:hAnsiTheme="minorEastAsia"/>
            <w:sz w:val="28"/>
            <w:szCs w:val="28"/>
          </w:rPr>
          <w:instrText>PAGE   \* MERGEFORMAT</w:instrText>
        </w:r>
        <w:r w:rsidRPr="0058273D">
          <w:rPr>
            <w:rFonts w:asciiTheme="minorEastAsia" w:eastAsiaTheme="minorEastAsia" w:hAnsiTheme="minorEastAsia"/>
            <w:sz w:val="28"/>
            <w:szCs w:val="28"/>
          </w:rPr>
          <w:fldChar w:fldCharType="separate"/>
        </w:r>
        <w:r w:rsidRPr="0058273D">
          <w:rPr>
            <w:rFonts w:asciiTheme="minorEastAsia" w:eastAsiaTheme="minorEastAsia" w:hAnsiTheme="minorEastAsia"/>
            <w:noProof/>
            <w:sz w:val="28"/>
            <w:szCs w:val="28"/>
            <w:lang w:val="zh-CN"/>
          </w:rPr>
          <w:t>8</w:t>
        </w:r>
        <w:r w:rsidRPr="0058273D">
          <w:rPr>
            <w:rFonts w:asciiTheme="minorEastAsia" w:eastAsiaTheme="minorEastAsia" w:hAnsiTheme="minorEastAsia"/>
            <w:sz w:val="28"/>
            <w:szCs w:val="28"/>
          </w:rPr>
          <w:fldChar w:fldCharType="end"/>
        </w:r>
        <w:r w:rsidRPr="0058273D">
          <w:rPr>
            <w:rFonts w:asciiTheme="minorEastAsia" w:eastAsiaTheme="minorEastAsia" w:hAnsiTheme="minorEastAsia" w:hint="eastAsia"/>
            <w:sz w:val="28"/>
            <w:szCs w:val="28"/>
          </w:rPr>
          <w:t xml:space="preserve"> </w:t>
        </w:r>
        <w:r w:rsidRPr="0058273D">
          <w:rPr>
            <w:rFonts w:asciiTheme="minorEastAsia" w:eastAsiaTheme="minorEastAsia" w:hAnsiTheme="minorEastAsia"/>
            <w:sz w:val="28"/>
            <w:szCs w:val="28"/>
          </w:rPr>
          <w:t>—</w:t>
        </w:r>
      </w:p>
    </w:sdtContent>
  </w:sdt>
  <w:p w:rsidR="0058273D" w:rsidRDefault="0058273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4572802"/>
      <w:docPartObj>
        <w:docPartGallery w:val="Page Numbers (Bottom of Page)"/>
        <w:docPartUnique/>
      </w:docPartObj>
    </w:sdtPr>
    <w:sdtEndPr>
      <w:rPr>
        <w:rFonts w:asciiTheme="minorEastAsia" w:eastAsiaTheme="minorEastAsia" w:hAnsiTheme="minorEastAsia"/>
        <w:sz w:val="28"/>
        <w:szCs w:val="28"/>
      </w:rPr>
    </w:sdtEndPr>
    <w:sdtContent>
      <w:p w:rsidR="0058273D" w:rsidRPr="0058273D" w:rsidRDefault="0058273D" w:rsidP="0058273D">
        <w:pPr>
          <w:pStyle w:val="a5"/>
          <w:ind w:right="360"/>
          <w:jc w:val="right"/>
          <w:rPr>
            <w:rFonts w:asciiTheme="minorEastAsia" w:eastAsiaTheme="minorEastAsia" w:hAnsiTheme="minorEastAsia"/>
            <w:sz w:val="28"/>
            <w:szCs w:val="28"/>
          </w:rPr>
        </w:pPr>
        <w:r w:rsidRPr="0058273D">
          <w:rPr>
            <w:rFonts w:asciiTheme="minorEastAsia" w:eastAsiaTheme="minorEastAsia" w:hAnsiTheme="minorEastAsia"/>
            <w:sz w:val="28"/>
            <w:szCs w:val="28"/>
          </w:rPr>
          <w:t>—</w:t>
        </w:r>
        <w:r w:rsidRPr="0058273D">
          <w:rPr>
            <w:rFonts w:asciiTheme="minorEastAsia" w:eastAsiaTheme="minorEastAsia" w:hAnsiTheme="minorEastAsia" w:hint="eastAsia"/>
            <w:sz w:val="28"/>
            <w:szCs w:val="28"/>
          </w:rPr>
          <w:t xml:space="preserve"> </w:t>
        </w:r>
        <w:r w:rsidRPr="0058273D">
          <w:rPr>
            <w:rFonts w:asciiTheme="minorEastAsia" w:eastAsiaTheme="minorEastAsia" w:hAnsiTheme="minorEastAsia"/>
            <w:sz w:val="28"/>
            <w:szCs w:val="28"/>
          </w:rPr>
          <w:fldChar w:fldCharType="begin"/>
        </w:r>
        <w:r w:rsidRPr="0058273D">
          <w:rPr>
            <w:rFonts w:asciiTheme="minorEastAsia" w:eastAsiaTheme="minorEastAsia" w:hAnsiTheme="minorEastAsia"/>
            <w:sz w:val="28"/>
            <w:szCs w:val="28"/>
          </w:rPr>
          <w:instrText>PAGE   \* MERGEFORMAT</w:instrText>
        </w:r>
        <w:r w:rsidRPr="0058273D">
          <w:rPr>
            <w:rFonts w:asciiTheme="minorEastAsia" w:eastAsiaTheme="minorEastAsia" w:hAnsiTheme="minorEastAsia"/>
            <w:sz w:val="28"/>
            <w:szCs w:val="28"/>
          </w:rPr>
          <w:fldChar w:fldCharType="separate"/>
        </w:r>
        <w:r w:rsidRPr="0058273D">
          <w:rPr>
            <w:rFonts w:asciiTheme="minorEastAsia" w:eastAsiaTheme="minorEastAsia" w:hAnsiTheme="minorEastAsia"/>
            <w:noProof/>
            <w:sz w:val="28"/>
            <w:szCs w:val="28"/>
            <w:lang w:val="zh-CN"/>
          </w:rPr>
          <w:t>7</w:t>
        </w:r>
        <w:r w:rsidRPr="0058273D">
          <w:rPr>
            <w:rFonts w:asciiTheme="minorEastAsia" w:eastAsiaTheme="minorEastAsia" w:hAnsiTheme="minorEastAsia"/>
            <w:sz w:val="28"/>
            <w:szCs w:val="28"/>
          </w:rPr>
          <w:fldChar w:fldCharType="end"/>
        </w:r>
        <w:r w:rsidRPr="0058273D">
          <w:rPr>
            <w:rFonts w:asciiTheme="minorEastAsia" w:eastAsiaTheme="minorEastAsia" w:hAnsiTheme="minorEastAsia" w:hint="eastAsia"/>
            <w:sz w:val="28"/>
            <w:szCs w:val="28"/>
          </w:rPr>
          <w:t xml:space="preserve"> </w:t>
        </w:r>
        <w:r w:rsidRPr="0058273D">
          <w:rPr>
            <w:rFonts w:asciiTheme="minorEastAsia" w:eastAsiaTheme="minorEastAsia" w:hAnsiTheme="minorEastAsia"/>
            <w:sz w:val="28"/>
            <w:szCs w:val="28"/>
          </w:rPr>
          <w:t>—</w:t>
        </w:r>
      </w:p>
    </w:sdtContent>
  </w:sdt>
  <w:p w:rsidR="0058273D" w:rsidRDefault="0058273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01ED" w:rsidRDefault="002A7046">
      <w:r>
        <w:separator/>
      </w:r>
    </w:p>
  </w:footnote>
  <w:footnote w:type="continuationSeparator" w:id="0">
    <w:p w:rsidR="002F01ED" w:rsidRDefault="002A70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0NzcxYWI5OTQ0Yzc4NWJmMGZmZTFiYTY3ZGEwODEifQ=="/>
  </w:docVars>
  <w:rsids>
    <w:rsidRoot w:val="08F436ED"/>
    <w:rsid w:val="000F0FA3"/>
    <w:rsid w:val="002A7046"/>
    <w:rsid w:val="002F01ED"/>
    <w:rsid w:val="0058273D"/>
    <w:rsid w:val="005C671B"/>
    <w:rsid w:val="008B2C7F"/>
    <w:rsid w:val="00D70F64"/>
    <w:rsid w:val="00DF4A61"/>
    <w:rsid w:val="08F436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semiHidden="1" w:uiPriority="99" w:unhideWhenUsed="1" w:qFormat="1"/>
    <w:lsdException w:name="Body Text Indent" w:semiHidden="1" w:uiPriority="99"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ind w:firstLineChars="200" w:firstLine="420"/>
    </w:pPr>
  </w:style>
  <w:style w:type="paragraph" w:styleId="a3">
    <w:name w:val="Body Text Indent"/>
    <w:basedOn w:val="a"/>
    <w:next w:val="2"/>
    <w:uiPriority w:val="99"/>
    <w:semiHidden/>
    <w:qFormat/>
    <w:pPr>
      <w:spacing w:after="120"/>
      <w:ind w:leftChars="200" w:left="420"/>
    </w:pPr>
  </w:style>
  <w:style w:type="paragraph" w:styleId="a4">
    <w:name w:val="Body Text"/>
    <w:basedOn w:val="a"/>
    <w:uiPriority w:val="99"/>
    <w:semiHidden/>
    <w:unhideWhenUsed/>
    <w:qFormat/>
    <w:pPr>
      <w:spacing w:after="120"/>
    </w:pPr>
  </w:style>
  <w:style w:type="paragraph" w:styleId="a5">
    <w:name w:val="footer"/>
    <w:basedOn w:val="a"/>
    <w:link w:val="Char"/>
    <w:uiPriority w:val="99"/>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Balloon Text"/>
    <w:basedOn w:val="a"/>
    <w:link w:val="Char0"/>
    <w:rsid w:val="002A7046"/>
    <w:rPr>
      <w:sz w:val="18"/>
      <w:szCs w:val="18"/>
    </w:rPr>
  </w:style>
  <w:style w:type="character" w:customStyle="1" w:styleId="Char0">
    <w:name w:val="批注框文本 Char"/>
    <w:basedOn w:val="a0"/>
    <w:link w:val="a7"/>
    <w:rsid w:val="002A7046"/>
    <w:rPr>
      <w:rFonts w:ascii="Times New Roman" w:eastAsia="宋体" w:hAnsi="Times New Roman" w:cs="Times New Roman"/>
      <w:kern w:val="2"/>
      <w:sz w:val="18"/>
      <w:szCs w:val="18"/>
    </w:rPr>
  </w:style>
  <w:style w:type="character" w:customStyle="1" w:styleId="Char">
    <w:name w:val="页脚 Char"/>
    <w:basedOn w:val="a0"/>
    <w:link w:val="a5"/>
    <w:uiPriority w:val="99"/>
    <w:rsid w:val="0058273D"/>
    <w:rPr>
      <w:rFonts w:ascii="Times New Roman" w:eastAsia="宋体" w:hAnsi="Times New Roman" w:cs="Times New Roman"/>
      <w:kern w:val="2"/>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semiHidden="1" w:uiPriority="99" w:unhideWhenUsed="1" w:qFormat="1"/>
    <w:lsdException w:name="Body Text Indent" w:semiHidden="1" w:uiPriority="99" w:qFormat="1"/>
    <w:lsdException w:name="Subtitle" w:qFormat="1"/>
    <w:lsdException w:name="Body Text First Indent 2"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pPr>
      <w:ind w:firstLineChars="200" w:firstLine="420"/>
    </w:pPr>
  </w:style>
  <w:style w:type="paragraph" w:styleId="a3">
    <w:name w:val="Body Text Indent"/>
    <w:basedOn w:val="a"/>
    <w:next w:val="2"/>
    <w:uiPriority w:val="99"/>
    <w:semiHidden/>
    <w:qFormat/>
    <w:pPr>
      <w:spacing w:after="120"/>
      <w:ind w:leftChars="200" w:left="420"/>
    </w:pPr>
  </w:style>
  <w:style w:type="paragraph" w:styleId="a4">
    <w:name w:val="Body Text"/>
    <w:basedOn w:val="a"/>
    <w:uiPriority w:val="99"/>
    <w:semiHidden/>
    <w:unhideWhenUsed/>
    <w:qFormat/>
    <w:pPr>
      <w:spacing w:after="120"/>
    </w:pPr>
  </w:style>
  <w:style w:type="paragraph" w:styleId="a5">
    <w:name w:val="footer"/>
    <w:basedOn w:val="a"/>
    <w:link w:val="Char"/>
    <w:uiPriority w:val="99"/>
    <w:pPr>
      <w:tabs>
        <w:tab w:val="center" w:pos="4153"/>
        <w:tab w:val="right" w:pos="8306"/>
      </w:tabs>
      <w:snapToGrid w:val="0"/>
      <w:jc w:val="left"/>
    </w:pPr>
    <w:rPr>
      <w:sz w:val="18"/>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Balloon Text"/>
    <w:basedOn w:val="a"/>
    <w:link w:val="Char0"/>
    <w:rsid w:val="002A7046"/>
    <w:rPr>
      <w:sz w:val="18"/>
      <w:szCs w:val="18"/>
    </w:rPr>
  </w:style>
  <w:style w:type="character" w:customStyle="1" w:styleId="Char0">
    <w:name w:val="批注框文本 Char"/>
    <w:basedOn w:val="a0"/>
    <w:link w:val="a7"/>
    <w:rsid w:val="002A7046"/>
    <w:rPr>
      <w:rFonts w:ascii="Times New Roman" w:eastAsia="宋体" w:hAnsi="Times New Roman" w:cs="Times New Roman"/>
      <w:kern w:val="2"/>
      <w:sz w:val="18"/>
      <w:szCs w:val="18"/>
    </w:rPr>
  </w:style>
  <w:style w:type="character" w:customStyle="1" w:styleId="Char">
    <w:name w:val="页脚 Char"/>
    <w:basedOn w:val="a0"/>
    <w:link w:val="a5"/>
    <w:uiPriority w:val="99"/>
    <w:rsid w:val="0058273D"/>
    <w:rPr>
      <w:rFonts w:ascii="Times New Roman" w:eastAsia="宋体" w:hAnsi="Times New Roman" w:cs="Times New Roman"/>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3479</Words>
  <Characters>131</Characters>
  <Application>Microsoft Office Word</Application>
  <DocSecurity>0</DocSecurity>
  <Lines>1</Lines>
  <Paragraphs>7</Paragraphs>
  <ScaleCrop>false</ScaleCrop>
  <Company/>
  <LinksUpToDate>false</LinksUpToDate>
  <CharactersWithSpaces>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川流不息</dc:creator>
  <cp:lastModifiedBy>hp</cp:lastModifiedBy>
  <cp:revision>7</cp:revision>
  <cp:lastPrinted>2022-12-02T02:13:00Z</cp:lastPrinted>
  <dcterms:created xsi:type="dcterms:W3CDTF">2022-12-01T08:23:00Z</dcterms:created>
  <dcterms:modified xsi:type="dcterms:W3CDTF">2023-01-04T02:29:00Z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7DC421AF606C42F48BFE4CC58E17DD09</vt:lpwstr>
  </property>
</Properties>
</file>