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平凉市养犬管理条例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tabs>
          <w:tab w:val="left" w:pos="630"/>
        </w:tabs>
        <w:kinsoku/>
        <w:wordWrap/>
        <w:overflowPunct/>
        <w:topLinePunct w:val="0"/>
        <w:autoSpaceDE/>
        <w:autoSpaceDN/>
        <w:bidi w:val="0"/>
        <w:adjustRightInd/>
        <w:snapToGrid/>
        <w:spacing w:line="576" w:lineRule="exact"/>
        <w:ind w:left="636" w:leftChars="0" w:right="531" w:rightChars="253" w:hanging="636" w:hangingChars="199"/>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（2022年6月29日平凉市第五届人民代表大会常务委员会第四次会议表决通过  2022年9月23日甘肃省第十三届人民代表大会常务委员会第三十三次会议批准）</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分区管理与部门职责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犬只免疫与登记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养犬行为规范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犬只留检与处理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犬只经营管理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为了规范养犬行为，保障公民健康和人身安全，维护社会公共秩序和市容环境卫生，根据有关法律法规，结合本市实际，制定本条例。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本市行政区域内犬只的饲养、经营以及相关管理活动，适用本条例。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军事机关、公安机关以及动物园、科研机构等单位因特定工作需要饲养犬只的，不适用本条例。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养犬管理遵循政府部门监管、养犬人自律、基层组织参与和社会公众监督相结合的原则。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建立由公安、城市管理综合执法、农业农村或者畜牧兽医、市场监督管理、卫生健康、住房和城乡建设等有关部门共同参与的养犬管理工作协调机制，协调解决养犬管理工作中的重大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协调机制成员单位在各自的职责范围内，负责养犬的相关监督管理工作。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应当将养犬管理工作纳入基层治理网格化管理体系。街道办事处和乡（镇）人民政府应当做好本辖区养犬管理工作，并组织协调居民委员会、村民委员会做好流浪犬的控制和处置，防止疫病传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居民委员会、村民委员会、物业服务人等组织，应当协助有关行政管理部门做好养犬管理工作，并在各自的公约中对规范养犬行为作出约定，引导、督促养犬人依法养犬、文明养犬。</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养犬人应当依法规范养犬、文明科学养犬，不得损害国家利益、社会公共利益或者他人的合法权益。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广播、电视、报刊、网络等媒体应当加强规范养犬宣传教育，引导养犬人形成良好的养犬习惯。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养犬管理的有关行政部门、居民委员会、村民委员会、物业服务人等应当组织开展依法规范养犬、文明科学养犬的宣传活动。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鼓励和支持民间犬只救助机构和爱犬人士依法从事犬只救助活动。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对违法养犬行为，任何单位和个人有权进行劝阻、举报和投诉。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公安机关应当公布举报、投诉电话、信箱、电子邮箱，接到举报、投诉后应当及时处理，并在十个工作日内将处理情况告知举报人、投诉人。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分区管理与部门职责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本市养犬实行禁止养犬区、严格管理区和一般管理区分区管理制度。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禁止养犬区是指机关办公场所、医院诊疗区、学校教学区、学生宿舍、单位集体宿舍、幼儿园等区域。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严格管理区是指县（市、区）城市建成区以及县（市、区）人民政府划定并公布的其他区域。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一般管理区是指禁止养犬区和严格管理区以外的其他区域。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县（市、区）人民政府应当根据以上规定和本行政区域养犬实际，具体划分管理区并向社会公布。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禁止养犬区内，不得饲养、繁殖、经营犬只。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严格管理区内，不得饲养、繁殖、经营禁养犬只。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禁养犬只名录由市级农业农村或者畜牧兽医部门会同市级公安机关确定，并向社会公布。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公安机关是养犬管理工作的行政主管部门，履行下列职责: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（一）组织、协调本辖区养犬管理工作；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（二）办理养犬登记和年度审验;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（三）建立养犬管理电子信息系统，提供养犬信息服务；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（四）查处违法养犬行为；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城市管理综合执法部门履行下列职责: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（一）查处养犬影响城市市容环境卫生的行为；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（二）管理犬只留检所；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（三）及时捕捉流浪犬只并投送留检所;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（四）捕杀患有狂犬病的犬只，对犬只尸体实施无害化处理;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（五）查处违法占道、不按划定区域交易犬只行为;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农业农村或者畜牧兽医部门履行下列职责: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（一）负责犬只狂犬病免疫、检疫和电子标识的植入，建立免疫档案;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（二）建立犬只疫情监测网络，对狂犬病等人畜共患病进行预警;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（三）对犬只养殖、诊疗等活动监督管理;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市场监督管理部门履行下列职责: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（一）负责对涉犬经营单位办理注册登记；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（二）对犬类经营单位的经营活动进行监督管理；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（三）对涉犬经营单位违反市场监督管理法规的经营行为进行查处;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卫生健康部门履行下列职责: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（一）负责狂犬病等疾病的预防宣传，狂犬病疫情的监测；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（二）人用狂犬病疫苗的供应、运输、保存、使用和患者的诊治工作；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犬只免疫与登记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严格管理区实行养犬登记、年度审验和免疫制度;一般管理区实行犬只免疫制度。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养犬人应当按照法律法规规定对犬只定期接种狂犬病疫苗，并在养犬登记前植入电子标识，取得犬只免疫证明和电子标识植入证明。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犬只的免疫和电子标识植入费用由养犬人自行负担。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严格管理区内未登记的犬只，自取得狂犬病免疫证明之日起十五日内，养犬人应当携犬只到住所地公安机关申请办理养犬登记。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个人办理养犬登记时应当提供下列材料: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（一）养犬人的身份证;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（二）房产证明或者房屋租赁证明;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（三）犬只的狂犬病免疫证明和电子标识植入证明；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（四）犬只的来源、犬名、犬龄、品种、性别、主要体貌特征等信息。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单位办理养犬登记时应当提供下列材料: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（一）单位主体资格证明，法定代表人或者负责人的身份证明;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（二）犬只管理人员的身份证明;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（三）独立场所及犬笼、犬舍、围墙等封闭圈养设施的证明;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（四）犬只狂犬病免疫证明和电子标识植入证明;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（五）犬只的来源、犬名、犬龄、品种、性别、主要体貌特征等信息；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（六）犬只饲养管理制度。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公安机关收到个人养犬登记申请，应当在两个工作日内作出是否准予登记的决定。需要进一步核实或者有其他特殊情况的，经登记机关负责人同意，可以延长至五个工作日内，并向养犬人说明理由。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公安机关收到单位养犬申请，应当对养犬的必要性及拟养犬只的品种及数量认真审查，在五个工作日内作出是否准予登记的决定。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公安机关准予登记的，应当向申请人发放养犬登记证;对不予登记的，应当书面说明理由，并告知申请人十日内将犬只送至犬只留检所。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养犬人违反本条例规定，一年内被行政处罚累计达三次，或者被没收犬只、注销犬只登记证的，自最后一次行政处罚决定作出之日起两年内不予办理养犬登记。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养犬登记实行年度审验制度。养犬人应当于养犬登记期满前三十日内，携带养犬登记证和犬只免疫证明到公安机关进行年度审验。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公安机关应当建立养犬登记档案。养犬登记档案登载下列内容: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（一）养犬人姓名、性别、身份证号、照片、住址、联系方式或者单位名称、地址、法定代表人、负责人及联系方式等信息;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（二）犬只来源、犬名、犬龄、品种、性别、主要体貌特征、照片、免疫和年度审验等信息;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（三）养犬初始登记时间和养犬登记证变更、补发、注销等情况;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（四）养犬人因违法养犬被行政处罚的记录和犬只伤人记录；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（五）其他需要记载的信息。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养犬人的相关信息发生变更的，养犬人应当自变更之日起十五日内，到原登记机关办理变更登记。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有下列情形之一的，养犬人应当持养犬登记证到原养犬登记机关办理注销手续: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（一）饲养的犬只死亡或者失踪的，应当自犬只死亡或者失踪之日起十五日内办理；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（二）放弃饲养犬只的，应当自送交他人饲养或者送交犬只留检所之日起十五日内办理；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（三）犬只免疫有效期满，养犬人未将犬只送至犬只免疫点接受狂犬病免疫接种的。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犬只免疫证明、养犬登记证遗失或者损毁的，养犬人应当在十五日内到原发证机关补办。</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left="-2" w:leftChars="0" w:right="0" w:rightChars="0" w:hanging="2"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rPr>
        <w:t>养犬行为规范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养犬人不得有下列行为: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（一）在集体宿舍和合租屋内饲养犬只;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（二）饲养犬只干扰他人正常生活;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（三）放任、驱使犬只恐吓、伤害他人;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（四）组织、参与“斗犬”活动;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（五）遗弃、虐待或者擅自处死犬只;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（六）擅自掩埋或者随意抛弃犬只尸体;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（七）放任犬只在道路上影响交通秩序和安全;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（八）携带禁养犬只进入严格管理区;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（九）伪造、变造、涂改、冒用、转让、买卖养犬管理相关证件;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（十）法律法规禁止的其他行为。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携带犬只</w:t>
      </w:r>
      <w:bookmarkStart w:id="0" w:name="_GoBack"/>
      <w:bookmarkEnd w:id="0"/>
      <w:r>
        <w:rPr>
          <w:rFonts w:hint="eastAsia" w:ascii="仿宋_GB2312" w:hAnsi="仿宋_GB2312" w:eastAsia="仿宋_GB2312" w:cs="仿宋_GB2312"/>
          <w:sz w:val="32"/>
          <w:szCs w:val="32"/>
        </w:rPr>
        <w:t>外出时，在严格管理区应当遵守下列规定: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（一）不得由无民事行为能力人或者限制民事行为能力人单独携带犬只;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（二）用犬绳牵领，小型犬只应当用长度为一点五米以下的犬绳;大中型犬应当用长度为一米以下的犬绳;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（三）在楼道、电梯及其他拥挤场合，应当收紧犬绳、贴身携带犬只、为犬只佩戴嘴套;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（四）主动避让行人;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（五）携带清洁用具，即时清理犬只排泄物;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（六）有效制止犬只持续吠叫、追咬等攻击行人的行为;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（七）单位饲养的犬只应当拴养或者圈养，确因需要离开饲养场所的，应当将犬只装入犬笼;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（八）不得乘坐除出租汽车以外的公共交通工具，乘坐出租汽车的，应当征得驾驶人员同意。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禁止携带犬只进入下列区域: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（一）机关、团体、企事业单位办公区;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（二）学校、医院、幼儿园及其他少年儿童活动场所;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（三）博物馆、图书馆、美术馆、影剧院、体育场馆、会展中心等公共文化娱乐场所;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（四）候车（船、机）厅等公共场所，但符合有关规定的除外;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（五）文物保护单位;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（六）餐饮场所、宾馆、商场、公共浴室;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（七）公共绿地、城市公园、广场、商业步行街范围内由县（市、区）人民政府根据管理实际需要划定并公布的区域;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（八）其他设有禁止携带犬只进入标志的区域。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除前款规定外，其他单位和个人有权决定其经营或者管理的场所禁止携带犬只进入。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禁止携带犬只进入的区域，应当设置明显的禁入标志。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本条例第三十条第八项、第三十一条不适用于携带导盲犬的盲人和携带扶助犬的肢体重残人。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犬只伤害他人的，养犬人应当立即将受害人送到医疗卫生机构进行诊治，依法承担相应的法律责任。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携带外地犬只进入本市行政区域的，应当遵守国家相关法律和本条例的规定。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发现饲养的犬只感染或者疑似感染狂犬病的，应当立即采取隔离等控制措施，并向农业农村或者畜牧兽医管理部门、动物卫生监督机构或者动物疫病预防控制机构报告，由动物疫病预防控制机构依照国家有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第五章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犬只留检与处理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县（市、区）人民政府应当按照国家规定的动物防疫条件设置犬只留检所。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公安机关、城市管理综合执法、农业农村或者畜牧兽医部门决定没收的犬只，应当送交犬只留检所。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养犬人放弃饲养的，应当将犬只送至犬只留检所。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任何单位和个人可以将发现的流浪犬只、无主犬只送至犬只留检所或者报告城市管理综合执法部门进行处理。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犬只留检所对依法登记的走失犬只，应当通知养犬人在七个工作日内认领，养犬人认领犬只时，应当依法承担犬只在留检所发生的饲养、管理等费用;养犬人逾期不认领或者无法通知养犬人的，按照无主犬只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犬只留检所应当采取措施防止犬只繁殖。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犬只留检所建立犬只领养制度，对收留的无主犬只，允许单位和个人按照本条例办理养犬登记后领养。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领养人不得销售、屠杀、遗弃领养犬只。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犬只死亡的，养犬人应当将犬只尸体送往犬只留检所进行无害化处理。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犬只伤害他人的，养犬人应当在二十四小时内将伤人犬只送至犬只留检所进行传染病检验，并将检验情况报送公安机关载入养犬登记电子档案。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第六章  </w:t>
      </w:r>
      <w:r>
        <w:rPr>
          <w:rFonts w:hint="eastAsia" w:ascii="黑体" w:hAnsi="黑体" w:eastAsia="黑体" w:cs="黑体"/>
          <w:sz w:val="32"/>
          <w:szCs w:val="32"/>
        </w:rPr>
        <w:t>犬只经营管理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从事犬只经营活动，应当符合国家规定的动物防疫条件和经营条件，依法办理相关许可、登记，并接受市场监督管理和农业农村或者畜牧兽医管理部门的监督检查。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从事犬只诊疗活动，应当依法取得农业农村或者畜牧兽医管理部门发放的动物诊疗许可证，诊疗人员应当具有相应的兽医资格。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犬只救助机构不得从事犬只繁殖、经营活动。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从事犬只养殖、销售、诊疗、培训等活动，经营者应当自经营之日起十五日内向所在地的县（市、区）公安机关备案。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举办犬只展览、表演等活动，组织者应当在活动开始七日前向活动举办地的县（市、区）公安机关备案。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禁止在居民小区、商住楼内设立从事犬只养殖、销售、诊疗、培训、展览、表演等活动场所。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县（市、区）人民政府应当按照国家规定的动物防疫条件设置犬只交易市场。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犬只交易应当在犬只交易市场内进行，不得流动交易或者占道交易。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进入市场交易的犬只，应当具备有效的犬只免疫、检疫合格证明和电子标识植入证明。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未按照规定对适龄犬只进行狂犬病免疫的，禁止交易。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犬只出生不满三个月交易的可以不受本条第一款中有关电子标识植入证明的限制。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犬只交易市场应当实行定期休市消毒或者市场区域轮休消毒制度。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养犬人违反本条例第十八条第一款规定，不按期接种狂犬病疫苗、植入电子标识的，由农业农村或者畜牧兽医管理部门依照相关法律法规的规定处理。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有下列行为之一的，由公安机关予以处罚: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（一）违反本条例第十一条第一款、第二款规定的，责令限期自行处置;逾期不处置的，处以每只二千元以上五千元以下罚款，并处没收犬只。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（二）违反本条例第十九条规定的，责令限期办理养犬登记；逾期仍不登记的，对单位处以五百元以上二千元以下罚款，并处没收犬只；对个人处以二百元以上一千元以下罚款，并处没收犬只。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（三）违反本条例第二十四条、第二十六条规定的，责令限期改正;逾期不改正的，处以二百元以上一千元以下罚款。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（四）违反本条例第二十九条第一项、第二项规定，给予警告;警告后仍不改正的，处以二百元以上五百元以下罚款。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（五）违反本条例第二十九条第三项规定，放任、驱使犬只恐吓他人的，处以二百元以上五百元以下罚款；驱使犬只伤害他人的，依照相关法律法规的规定处理。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（六）违反本条例第二十九条第四项规定的，没收犬只，并处五百元以上二千元以下罚款、注销养犬登记证。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（七）违反本条例第三十一条第一款第一项至六项和第八项规定的，责令改正;拒不改正的，处以五十元以上二百元以下罚款。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（八）违反本条例第四十条第三款、第四十一条规定的，责令限期改正;逾期不改正的，处以一千元以上五千元以下罚款。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有下列行为之一的，由城市管理综合执法部门予以处罚: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（一）违反本条例第二十九条第五项至八项和第三十七条第二款规定的，给予警告;警告后仍不改正的，处以五百元以上二千元以下罚款。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（二）违反本条例第三十条规定的，责令改正;拒不改正的，处以二百元以下罚款。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（三）违反本条例第三十一条第一款第七项规定的，责令改正;拒不改正的，处以二百元以下罚款。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（四）违反本条例第四十三条第二款规定的，处以五百元以上一千元以下罚款，并处没收占道售犬设施和犬只。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违反本条例规定的其他行为，法律法规已有处罚规定的，依照其规定执行。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第八章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本条例自2023年2月1日起施行。</w:t>
      </w:r>
    </w:p>
    <w:sectPr>
      <w:headerReference r:id="rId3" w:type="default"/>
      <w:footerReference r:id="rId4"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-380365</wp:posOffset>
              </wp:positionV>
              <wp:extent cx="1177290" cy="2222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77290"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281"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9.95pt;height:17.5pt;width:92.7pt;mso-position-horizontal:outside;mso-position-horizontal-relative:margin;z-index:251658240;mso-width-relative:page;mso-height-relative:page;" filled="f" stroked="f" coordsize="21600,21600" o:gfxdata="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1jFfPYAAAACAEAAA8A&#10;AAAAAAAAAQAgAAAAIgAAAGRycy9kb3ducmV2LnhtbFBLAQIUABQAAAAIAIdO4kCIfH/wFwIAABQE&#10;AAAOAAAAAAAAAAEAIAAAACcBAABkcnMvZTJvRG9jLnhtbFBLBQYAAAAABgAGAFkBAACwBQAAAAA=&#10;">
              <v:fill on="f" focussize="0,0"/>
              <v:stroke on="f" weight="0.5pt"/>
              <v:imagedata o:title=""/>
              <o:lock v:ext="edit" aspectratio="f"/>
              <v:textbox inset="0mm,0mm,0mm,0mm">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281"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036AD"/>
    <w:multiLevelType w:val="singleLevel"/>
    <w:tmpl w:val="63A036AD"/>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63A4E"/>
    <w:rsid w:val="22263A4E"/>
    <w:rsid w:val="6D9B359E"/>
    <w:rsid w:val="74D776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2022-12-19T09:07:00Z</dcterms:created>
  <dc:creator>Administrator</dc:creator>
  <cp:lastModifiedBy>Administrator</cp:lastModifiedBy>
  <dcterms:modified xsi:type="dcterms:W3CDTF">2022-12-20T02:03:44Z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