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920" w:lineRule="exact"/>
        <w:ind w:left="0" w:leftChars="0" w:right="0" w:rightChars="0" w:firstLine="0" w:firstLineChars="0"/>
        <w:jc w:val="center"/>
        <w:textAlignment w:val="auto"/>
        <w:outlineLvl w:val="9"/>
        <w:rPr>
          <w:rFonts w:hint="eastAsia" w:asciiTheme="majorEastAsia" w:hAnsiTheme="majorEastAsia" w:eastAsiaTheme="majorEastAsia" w:cstheme="majorEastAsia"/>
          <w:b/>
          <w:bCs/>
          <w:color w:val="000000"/>
          <w:sz w:val="44"/>
          <w:szCs w:val="44"/>
          <w:highlight w:val="none"/>
        </w:rPr>
      </w:pPr>
      <w:r>
        <w:rPr>
          <w:sz w:val="28"/>
        </w:rPr>
        <mc:AlternateContent>
          <mc:Choice Requires="wps">
            <w:drawing>
              <wp:anchor distT="0" distB="0" distL="114300" distR="114300" simplePos="0" relativeHeight="251663360" behindDoc="0" locked="0" layoutInCell="1" allowOverlap="1">
                <wp:simplePos x="0" y="0"/>
                <wp:positionH relativeFrom="column">
                  <wp:posOffset>8380730</wp:posOffset>
                </wp:positionH>
                <wp:positionV relativeFrom="paragraph">
                  <wp:posOffset>502920</wp:posOffset>
                </wp:positionV>
                <wp:extent cx="1809750" cy="989330"/>
                <wp:effectExtent l="5080" t="4445" r="13970" b="15875"/>
                <wp:wrapNone/>
                <wp:docPr id="3" name="文本框 3"/>
                <wp:cNvGraphicFramePr/>
                <a:graphic xmlns:a="http://schemas.openxmlformats.org/drawingml/2006/main">
                  <a:graphicData uri="http://schemas.microsoft.com/office/word/2010/wordprocessingShape">
                    <wps:wsp>
                      <wps:cNvSpPr txBox="1"/>
                      <wps:spPr>
                        <a:xfrm>
                          <a:off x="4737100" y="1219200"/>
                          <a:ext cx="1809750" cy="989330"/>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pPr>
                              <w:rPr>
                                <w:rFonts w:hint="eastAsia" w:eastAsia="仿宋"/>
                                <w:lang w:eastAsia="zh-CN"/>
                              </w:rPr>
                            </w:pPr>
                            <w:r>
                              <w:rPr>
                                <w:rFonts w:hint="eastAsia"/>
                                <w:lang w:eastAsia="zh-CN"/>
                              </w:rPr>
                              <w:t>校对人</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659.9pt;margin-top:39.6pt;height:77.9pt;width:142.5pt;z-index:251663360;mso-width-relative:page;mso-height-relative:page;" fillcolor="#FFFFFF [3201]" filled="t" stroked="t" coordsize="21600,21600" o:gfxdata="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">
                <v:fill on="t" focussize="0,0"/>
                <v:stroke weight="0.5pt" color="#000000 [3204]" joinstyle="round"/>
                <v:imagedata o:title=""/>
                <o:lock v:ext="edit" aspectratio="f"/>
                <v:textbox>
                  <w:txbxContent>
                    <w:p>
                      <w:pPr>
                        <w:rPr>
                          <w:rFonts w:hint="eastAsia" w:eastAsia="仿宋"/>
                          <w:lang w:eastAsia="zh-CN"/>
                        </w:rPr>
                      </w:pPr>
                      <w:r>
                        <w:rPr>
                          <w:rFonts w:hint="eastAsia"/>
                          <w:lang w:eastAsia="zh-CN"/>
                        </w:rPr>
                        <w:t>校对人</w:t>
                      </w:r>
                    </w:p>
                  </w:txbxContent>
                </v:textbox>
              </v:shape>
            </w:pict>
          </mc:Fallback>
        </mc:AlternateContent>
      </w:r>
      <w:r>
        <w:rPr>
          <w:sz w:val="28"/>
        </w:rPr>
        <mc:AlternateContent>
          <mc:Choice Requires="wps">
            <w:drawing>
              <wp:anchor distT="0" distB="0" distL="114300" distR="114300" simplePos="0" relativeHeight="251660288" behindDoc="0" locked="0" layoutInCell="1" allowOverlap="1">
                <wp:simplePos x="0" y="0"/>
                <wp:positionH relativeFrom="column">
                  <wp:posOffset>3436620</wp:posOffset>
                </wp:positionH>
                <wp:positionV relativeFrom="paragraph">
                  <wp:posOffset>-873760</wp:posOffset>
                </wp:positionV>
                <wp:extent cx="2133600" cy="1076325"/>
                <wp:effectExtent l="0" t="0" r="0" b="9525"/>
                <wp:wrapNone/>
                <wp:docPr id="2" name="文本框 1031"/>
                <wp:cNvGraphicFramePr/>
                <a:graphic xmlns:a="http://schemas.openxmlformats.org/drawingml/2006/main">
                  <a:graphicData uri="http://schemas.microsoft.com/office/word/2010/wordprocessingShape">
                    <wps:wsp>
                      <wps:cNvSpPr txBox="1"/>
                      <wps:spPr>
                        <a:xfrm>
                          <a:off x="0" y="0"/>
                          <a:ext cx="2133600" cy="1076325"/>
                        </a:xfrm>
                        <a:prstGeom prst="rect">
                          <a:avLst/>
                        </a:prstGeom>
                        <a:solidFill>
                          <a:srgbClr val="FFFFFF"/>
                        </a:solidFill>
                        <a:ln>
                          <a:noFill/>
                        </a:ln>
                      </wps:spPr>
                      <wps:txbx>
                        <w:txbxContent>
                          <w:p>
                            <w:pPr>
                              <w:rPr>
                                <w:rFonts w:hint="eastAsia" w:eastAsia="仿宋_GB2312"/>
                                <w:lang w:val="en-US" w:eastAsia="zh-CN"/>
                              </w:rPr>
                            </w:pPr>
                          </w:p>
                          <w:p>
                            <w:pPr>
                              <w:rPr>
                                <w:rFonts w:hint="default" w:eastAsia="仿宋_GB2312"/>
                                <w:lang w:val="en-US" w:eastAsia="zh-CN"/>
                              </w:rPr>
                            </w:pPr>
                          </w:p>
                        </w:txbxContent>
                      </wps:txbx>
                      <wps:bodyPr vert="horz" wrap="square" anchor="t" anchorCtr="0" upright="1"/>
                    </wps:wsp>
                  </a:graphicData>
                </a:graphic>
              </wp:anchor>
            </w:drawing>
          </mc:Choice>
          <mc:Fallback>
            <w:pict>
              <v:shape id="文本框 1031" o:spid="_x0000_s1026" o:spt="202" type="#_x0000_t202" style="position:absolute;left:0pt;margin-left:270.6pt;margin-top:-68.8pt;height:84.75pt;width:168pt;z-index:251660288;mso-width-relative:page;mso-height-relative:page;" fillcolor="#FFFFFF" filled="t" stroked="f" coordsize="21600,21600" o:gfxdata="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">
                <v:fill on="t" focussize="0,0"/>
                <v:stroke on="f"/>
                <v:imagedata o:title=""/>
                <o:lock v:ext="edit" aspectratio="f"/>
                <v:textbox>
                  <w:txbxContent>
                    <w:p>
                      <w:pPr>
                        <w:rPr>
                          <w:rFonts w:hint="eastAsia" w:eastAsia="仿宋_GB2312"/>
                          <w:lang w:val="en-US" w:eastAsia="zh-CN"/>
                        </w:rPr>
                      </w:pPr>
                    </w:p>
                    <w:p>
                      <w:pPr>
                        <w:rPr>
                          <w:rFonts w:hint="default" w:eastAsia="仿宋_GB2312"/>
                          <w:lang w:val="en-US" w:eastAsia="zh-CN"/>
                        </w:rPr>
                      </w:pPr>
                    </w:p>
                  </w:txbxContent>
                </v:textbox>
              </v:shape>
            </w:pict>
          </mc:Fallback>
        </mc:AlternateContent>
      </w:r>
      <w:r>
        <w:rPr>
          <w:rFonts w:hint="default" w:ascii="Times New Roman" w:hAnsi="Times New Roman" w:eastAsia="方正黑体_GBK" w:cs="Times New Roman"/>
          <w:sz w:val="28"/>
          <w:szCs w:val="28"/>
        </w:rPr>
        <w:t xml:space="preserve">                </w:t>
      </w:r>
      <w:r>
        <w:rPr>
          <w:rFonts w:hint="default" w:ascii="Times New Roman" w:hAnsi="Times New Roman" w:cs="Times New Roman"/>
          <w:sz w:val="28"/>
        </w:rPr>
        <mc:AlternateContent>
          <mc:Choice Requires="wps">
            <w:drawing>
              <wp:anchor distT="0" distB="0" distL="114300" distR="114300" simplePos="0" relativeHeight="251658240" behindDoc="0" locked="0" layoutInCell="1" allowOverlap="1">
                <wp:simplePos x="0" y="0"/>
                <wp:positionH relativeFrom="column">
                  <wp:posOffset>7722870</wp:posOffset>
                </wp:positionH>
                <wp:positionV relativeFrom="paragraph">
                  <wp:posOffset>294640</wp:posOffset>
                </wp:positionV>
                <wp:extent cx="1790700" cy="971550"/>
                <wp:effectExtent l="4445" t="4445" r="14605" b="14605"/>
                <wp:wrapNone/>
                <wp:docPr id="4" name="文本框 4"/>
                <wp:cNvGraphicFramePr/>
                <a:graphic xmlns:a="http://schemas.openxmlformats.org/drawingml/2006/main">
                  <a:graphicData uri="http://schemas.microsoft.com/office/word/2010/wordprocessingShape">
                    <wps:wsp>
                      <wps:cNvSpPr txBox="1"/>
                      <wps:spPr>
                        <a:xfrm>
                          <a:off x="4427855" y="1268095"/>
                          <a:ext cx="1790700" cy="971550"/>
                        </a:xfrm>
                        <a:prstGeom prst="rect">
                          <a:avLst/>
                        </a:prstGeom>
                        <a:solidFill>
                          <a:srgbClr val="FFFFFF"/>
                        </a:solidFill>
                        <a:ln w="6350">
                          <a:solidFill>
                            <a:prstClr val="black"/>
                          </a:solidFill>
                        </a:ln>
                        <a:effectLst/>
                      </wps:spPr>
                      <wps:txbx>
                        <w:txbxContent>
                          <w:p>
                            <w:pPr>
                              <w:rPr>
                                <w:rFonts w:hint="eastAsia" w:eastAsia="仿宋_GB2312"/>
                                <w:lang w:eastAsia="zh-CN"/>
                              </w:rPr>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608.1pt;margin-top:23.2pt;height:76.5pt;width:141pt;z-index:251658240;mso-width-relative:page;mso-height-relative:page;" fillcolor="#FFFFFF" filled="t" stroked="t" coordsize="21600,21600" o:gfxdata="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">
                <v:fill on="t" focussize="0,0"/>
                <v:stroke weight="0.5pt" color="#000000" joinstyle="round"/>
                <v:imagedata o:title=""/>
                <o:lock v:ext="edit" aspectratio="f"/>
                <v:textbox>
                  <w:txbxContent>
                    <w:p>
                      <w:pPr>
                        <w:rPr>
                          <w:rFonts w:hint="eastAsia" w:eastAsia="仿宋_GB2312"/>
                          <w:lang w:eastAsia="zh-CN"/>
                        </w:rPr>
                      </w:pPr>
                    </w:p>
                  </w:txbxContent>
                </v:textbox>
              </v:shape>
            </w:pict>
          </mc:Fallback>
        </mc:AlternateConten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jc w:val="center"/>
        <w:outlineLvl w:val="9"/>
        <w:rPr>
          <w:rFonts w:hint="eastAsia" w:asciiTheme="majorEastAsia" w:hAnsiTheme="majorEastAsia" w:eastAsiaTheme="majorEastAsia" w:cstheme="majorEastAsia"/>
          <w:b/>
          <w:bCs/>
          <w:sz w:val="44"/>
          <w:szCs w:val="44"/>
          <w:lang w:val="en-US" w:eastAsia="zh-CN"/>
        </w:rPr>
      </w:pPr>
      <w:r>
        <w:rPr>
          <w:rFonts w:hint="eastAsia" w:asciiTheme="majorEastAsia" w:hAnsiTheme="majorEastAsia" w:eastAsiaTheme="majorEastAsia" w:cstheme="majorEastAsia"/>
          <w:b/>
          <w:bCs/>
          <w:sz w:val="44"/>
          <w:szCs w:val="44"/>
        </w:rPr>
        <w:t>福建省养老服务条例</w:t>
      </w:r>
    </w:p>
    <w:p>
      <w:pPr>
        <w:pStyle w:val="28"/>
        <w:keepNext w:val="0"/>
        <w:keepLines w:val="0"/>
        <w:pageBreakBefore w:val="0"/>
        <w:widowControl w:val="0"/>
        <w:kinsoku/>
        <w:wordWrap/>
        <w:overflowPunct/>
        <w:topLinePunct w:val="0"/>
        <w:autoSpaceDE/>
        <w:autoSpaceDN/>
        <w:bidi w:val="0"/>
        <w:adjustRightInd w:val="0"/>
        <w:snapToGrid w:val="0"/>
        <w:spacing w:before="156" w:beforeLines="50" w:after="0" w:afterLines="0" w:line="560" w:lineRule="exact"/>
        <w:ind w:left="0" w:leftChars="0" w:firstLine="0" w:firstLineChars="0"/>
        <w:jc w:val="center"/>
        <w:textAlignment w:val="center"/>
        <w:outlineLvl w:val="9"/>
        <w:rPr>
          <w:rFonts w:hint="eastAsia" w:ascii="楷体_GB2312" w:hAnsi="楷体_GB2312" w:eastAsia="楷体_GB2312" w:cs="楷体_GB2312"/>
          <w:color w:val="000000"/>
          <w:spacing w:val="0"/>
          <w:sz w:val="32"/>
          <w:szCs w:val="32"/>
          <w:highlight w:val="none"/>
          <w:lang w:val="en-US" w:eastAsia="zh-CN"/>
        </w:rPr>
      </w:pPr>
      <w:r>
        <w:rPr>
          <w:rFonts w:hint="eastAsia" w:ascii="楷体_GB2312" w:hAnsi="楷体_GB2312" w:eastAsia="楷体_GB2312" w:cs="楷体_GB2312"/>
          <w:color w:val="000000"/>
          <w:spacing w:val="0"/>
          <w:sz w:val="32"/>
          <w:szCs w:val="32"/>
          <w:highlight w:val="none"/>
          <w:lang w:val="en-US" w:eastAsia="zh-CN"/>
        </w:rPr>
        <w:t>（2022年9月28日福建省第十三届人民代表大会</w:t>
      </w:r>
    </w:p>
    <w:p>
      <w:pPr>
        <w:pStyle w:val="28"/>
        <w:keepNext w:val="0"/>
        <w:keepLines w:val="0"/>
        <w:pageBreakBefore w:val="0"/>
        <w:widowControl w:val="0"/>
        <w:kinsoku/>
        <w:wordWrap/>
        <w:overflowPunct/>
        <w:topLinePunct w:val="0"/>
        <w:autoSpaceDE/>
        <w:autoSpaceDN/>
        <w:bidi w:val="0"/>
        <w:adjustRightInd w:val="0"/>
        <w:snapToGrid w:val="0"/>
        <w:spacing w:after="0" w:afterLines="0" w:line="560" w:lineRule="exact"/>
        <w:ind w:left="0" w:leftChars="0" w:firstLine="0" w:firstLineChars="0"/>
        <w:jc w:val="center"/>
        <w:textAlignment w:val="center"/>
        <w:outlineLvl w:val="9"/>
        <w:rPr>
          <w:rFonts w:hint="default" w:ascii="楷体_GB2312" w:hAnsi="楷体_GB2312" w:eastAsia="楷体_GB2312" w:cs="楷体_GB2312"/>
          <w:color w:val="000000"/>
          <w:spacing w:val="0"/>
          <w:sz w:val="32"/>
          <w:szCs w:val="32"/>
          <w:highlight w:val="none"/>
          <w:lang w:val="en-US" w:eastAsia="zh-CN"/>
        </w:rPr>
      </w:pPr>
      <w:r>
        <w:rPr>
          <w:rFonts w:hint="eastAsia" w:ascii="楷体_GB2312" w:hAnsi="楷体_GB2312" w:eastAsia="楷体_GB2312" w:cs="楷体_GB2312"/>
          <w:color w:val="000000"/>
          <w:spacing w:val="0"/>
          <w:sz w:val="32"/>
          <w:szCs w:val="32"/>
          <w:highlight w:val="none"/>
          <w:lang w:val="en-US" w:eastAsia="zh-CN"/>
        </w:rPr>
        <w:t>常务委员会第三十五次会议通过）</w:t>
      </w:r>
    </w:p>
    <w:p>
      <w:pPr>
        <w:keepNext w:val="0"/>
        <w:keepLines w:val="0"/>
        <w:pageBreakBefore w:val="0"/>
        <w:widowControl w:val="0"/>
        <w:kinsoku/>
        <w:wordWrap/>
        <w:overflowPunct/>
        <w:topLinePunct w:val="0"/>
        <w:autoSpaceDE/>
        <w:autoSpaceDN/>
        <w:bidi w:val="0"/>
        <w:adjustRightInd/>
        <w:snapToGrid/>
        <w:spacing w:before="251" w:beforeLines="80" w:after="251" w:afterLines="80" w:line="540" w:lineRule="exact"/>
        <w:ind w:left="0" w:leftChars="0" w:right="0" w:rightChars="0"/>
        <w:jc w:val="center"/>
        <w:textAlignment w:val="auto"/>
        <w:outlineLvl w:val="9"/>
        <w:rPr>
          <w:rFonts w:hint="eastAsia" w:ascii="楷体_GB2312" w:hAnsi="楷体_GB2312" w:eastAsia="楷体_GB2312" w:cs="楷体_GB2312"/>
          <w:sz w:val="32"/>
          <w:szCs w:val="32"/>
          <w:highlight w:val="none"/>
        </w:rPr>
      </w:pPr>
      <w:r>
        <w:rPr>
          <w:rFonts w:hint="eastAsia" w:ascii="楷体_GB2312" w:hAnsi="楷体_GB2312" w:eastAsia="楷体_GB2312" w:cs="楷体_GB2312"/>
          <w:sz w:val="32"/>
          <w:szCs w:val="32"/>
          <w:highlight w:val="none"/>
          <w:lang w:val="en-US" w:eastAsia="zh-CN"/>
        </w:rPr>
        <w:t>目    录</w:t>
      </w:r>
    </w:p>
    <w:p>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firstLine="640" w:firstLineChars="200"/>
        <w:textAlignment w:val="auto"/>
        <w:outlineLvl w:val="9"/>
        <w:rPr>
          <w:rFonts w:hint="eastAsia" w:ascii="方正书宋_GBK" w:hAnsi="方正书宋_GBK" w:eastAsia="方正书宋_GBK" w:cs="方正书宋_GBK"/>
          <w:sz w:val="32"/>
          <w:szCs w:val="32"/>
          <w:highlight w:val="none"/>
          <w:lang w:val="en-US" w:eastAsia="zh-CN"/>
        </w:rPr>
      </w:pPr>
      <w:r>
        <w:rPr>
          <w:rFonts w:hint="eastAsia" w:ascii="方正书宋_GBK" w:hAnsi="方正书宋_GBK" w:eastAsia="方正书宋_GBK" w:cs="方正书宋_GBK"/>
          <w:sz w:val="32"/>
          <w:szCs w:val="32"/>
          <w:highlight w:val="none"/>
          <w:lang w:val="en-US" w:eastAsia="zh-CN"/>
        </w:rPr>
        <w:t>第一章  总则</w:t>
      </w:r>
    </w:p>
    <w:p>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firstLine="640" w:firstLineChars="200"/>
        <w:textAlignment w:val="auto"/>
        <w:outlineLvl w:val="9"/>
        <w:rPr>
          <w:rFonts w:hint="eastAsia" w:ascii="方正书宋_GBK" w:hAnsi="方正书宋_GBK" w:eastAsia="方正书宋_GBK" w:cs="方正书宋_GBK"/>
          <w:sz w:val="32"/>
          <w:szCs w:val="32"/>
          <w:highlight w:val="none"/>
          <w:lang w:val="en-US" w:eastAsia="zh-CN"/>
        </w:rPr>
      </w:pPr>
      <w:r>
        <w:rPr>
          <w:rFonts w:hint="eastAsia" w:ascii="方正书宋_GBK" w:hAnsi="方正书宋_GBK" w:eastAsia="方正书宋_GBK" w:cs="方正书宋_GBK"/>
          <w:sz w:val="32"/>
          <w:szCs w:val="32"/>
          <w:highlight w:val="none"/>
          <w:lang w:val="en-US" w:eastAsia="zh-CN"/>
        </w:rPr>
        <w:t>第二章  规划建设</w:t>
      </w:r>
    </w:p>
    <w:p>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firstLine="640" w:firstLineChars="200"/>
        <w:textAlignment w:val="auto"/>
        <w:outlineLvl w:val="9"/>
        <w:rPr>
          <w:rFonts w:hint="eastAsia" w:ascii="方正书宋_GBK" w:hAnsi="方正书宋_GBK" w:eastAsia="方正书宋_GBK" w:cs="方正书宋_GBK"/>
          <w:sz w:val="32"/>
          <w:szCs w:val="32"/>
          <w:highlight w:val="none"/>
          <w:lang w:val="en-US" w:eastAsia="zh-CN"/>
        </w:rPr>
      </w:pPr>
      <w:r>
        <w:rPr>
          <w:rFonts w:hint="eastAsia" w:ascii="方正书宋_GBK" w:hAnsi="方正书宋_GBK" w:eastAsia="方正书宋_GBK" w:cs="方正书宋_GBK"/>
          <w:sz w:val="32"/>
          <w:szCs w:val="32"/>
          <w:highlight w:val="none"/>
          <w:lang w:val="en-US" w:eastAsia="zh-CN"/>
        </w:rPr>
        <w:t>第三章  居家社区养老服务</w:t>
      </w:r>
    </w:p>
    <w:p>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firstLine="640" w:firstLineChars="200"/>
        <w:textAlignment w:val="auto"/>
        <w:outlineLvl w:val="9"/>
        <w:rPr>
          <w:rFonts w:hint="eastAsia" w:ascii="方正书宋_GBK" w:hAnsi="方正书宋_GBK" w:eastAsia="方正书宋_GBK" w:cs="方正书宋_GBK"/>
          <w:sz w:val="32"/>
          <w:szCs w:val="32"/>
          <w:highlight w:val="none"/>
          <w:lang w:val="en-US" w:eastAsia="zh-CN"/>
        </w:rPr>
      </w:pPr>
      <w:r>
        <w:rPr>
          <w:rFonts w:hint="eastAsia" w:ascii="方正书宋_GBK" w:hAnsi="方正书宋_GBK" w:eastAsia="方正书宋_GBK" w:cs="方正书宋_GBK"/>
          <w:sz w:val="32"/>
          <w:szCs w:val="32"/>
          <w:highlight w:val="none"/>
          <w:lang w:val="en-US" w:eastAsia="zh-CN"/>
        </w:rPr>
        <w:t>第四章  机构养老服务</w:t>
      </w:r>
    </w:p>
    <w:p>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firstLine="640" w:firstLineChars="200"/>
        <w:textAlignment w:val="auto"/>
        <w:outlineLvl w:val="9"/>
        <w:rPr>
          <w:rFonts w:hint="eastAsia" w:ascii="方正书宋_GBK" w:hAnsi="方正书宋_GBK" w:eastAsia="方正书宋_GBK" w:cs="方正书宋_GBK"/>
          <w:sz w:val="32"/>
          <w:szCs w:val="32"/>
          <w:highlight w:val="none"/>
          <w:lang w:val="en-US" w:eastAsia="zh-CN"/>
        </w:rPr>
      </w:pPr>
      <w:r>
        <w:rPr>
          <w:rFonts w:hint="eastAsia" w:ascii="方正书宋_GBK" w:hAnsi="方正书宋_GBK" w:eastAsia="方正书宋_GBK" w:cs="方正书宋_GBK"/>
          <w:sz w:val="32"/>
          <w:szCs w:val="32"/>
          <w:highlight w:val="none"/>
          <w:lang w:val="en-US" w:eastAsia="zh-CN"/>
        </w:rPr>
        <w:t xml:space="preserve">第五章  </w:t>
      </w:r>
      <w:r>
        <w:rPr>
          <w:rFonts w:hint="eastAsia" w:ascii="方正书宋_GBK" w:hAnsi="方正书宋_GBK" w:eastAsia="方正书宋_GBK" w:cs="方正书宋_GBK"/>
          <w:color w:val="000000"/>
          <w:sz w:val="32"/>
          <w:szCs w:val="32"/>
        </w:rPr>
        <w:t>医养</w:t>
      </w:r>
      <w:r>
        <w:rPr>
          <w:rFonts w:hint="eastAsia" w:ascii="方正书宋_GBK" w:hAnsi="方正书宋_GBK" w:eastAsia="方正书宋_GBK" w:cs="方正书宋_GBK"/>
          <w:color w:val="000000"/>
          <w:sz w:val="32"/>
          <w:szCs w:val="32"/>
          <w:lang w:eastAsia="zh-CN"/>
        </w:rPr>
        <w:t>康养结</w:t>
      </w:r>
      <w:r>
        <w:rPr>
          <w:rFonts w:hint="eastAsia" w:ascii="方正书宋_GBK" w:hAnsi="方正书宋_GBK" w:eastAsia="方正书宋_GBK" w:cs="方正书宋_GBK"/>
          <w:color w:val="000000"/>
          <w:sz w:val="32"/>
          <w:szCs w:val="32"/>
        </w:rPr>
        <w:t>合</w:t>
      </w:r>
    </w:p>
    <w:p>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firstLine="640" w:firstLineChars="200"/>
        <w:textAlignment w:val="auto"/>
        <w:outlineLvl w:val="9"/>
        <w:rPr>
          <w:rFonts w:hint="eastAsia" w:ascii="方正书宋_GBK" w:hAnsi="方正书宋_GBK" w:eastAsia="方正书宋_GBK" w:cs="方正书宋_GBK"/>
          <w:sz w:val="32"/>
          <w:szCs w:val="32"/>
          <w:highlight w:val="none"/>
          <w:lang w:val="en-US" w:eastAsia="zh-CN"/>
        </w:rPr>
      </w:pPr>
      <w:r>
        <w:rPr>
          <w:rFonts w:hint="eastAsia" w:ascii="方正书宋_GBK" w:hAnsi="方正书宋_GBK" w:eastAsia="方正书宋_GBK" w:cs="方正书宋_GBK"/>
          <w:sz w:val="32"/>
          <w:szCs w:val="32"/>
          <w:highlight w:val="none"/>
          <w:lang w:val="en-US" w:eastAsia="zh-CN"/>
        </w:rPr>
        <w:t>第六章  养老服务人员</w:t>
      </w:r>
    </w:p>
    <w:p>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firstLine="640" w:firstLineChars="200"/>
        <w:textAlignment w:val="auto"/>
        <w:outlineLvl w:val="9"/>
        <w:rPr>
          <w:rFonts w:hint="eastAsia" w:ascii="方正书宋_GBK" w:hAnsi="方正书宋_GBK" w:eastAsia="方正书宋_GBK" w:cs="方正书宋_GBK"/>
          <w:sz w:val="32"/>
          <w:szCs w:val="32"/>
          <w:highlight w:val="none"/>
          <w:lang w:val="en-US" w:eastAsia="zh-CN"/>
        </w:rPr>
      </w:pPr>
      <w:r>
        <w:rPr>
          <w:rFonts w:hint="eastAsia" w:ascii="方正书宋_GBK" w:hAnsi="方正书宋_GBK" w:eastAsia="方正书宋_GBK" w:cs="方正书宋_GBK"/>
          <w:sz w:val="32"/>
          <w:szCs w:val="32"/>
          <w:highlight w:val="none"/>
          <w:lang w:val="en-US" w:eastAsia="zh-CN"/>
        </w:rPr>
        <w:t>第七章  扶持保障</w:t>
      </w:r>
    </w:p>
    <w:p>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firstLine="640" w:firstLineChars="200"/>
        <w:textAlignment w:val="auto"/>
        <w:outlineLvl w:val="9"/>
        <w:rPr>
          <w:rFonts w:hint="eastAsia" w:ascii="方正书宋_GBK" w:hAnsi="方正书宋_GBK" w:eastAsia="方正书宋_GBK" w:cs="方正书宋_GBK"/>
          <w:sz w:val="32"/>
          <w:szCs w:val="32"/>
          <w:highlight w:val="none"/>
          <w:lang w:val="en-US" w:eastAsia="zh-CN"/>
        </w:rPr>
      </w:pPr>
      <w:r>
        <w:rPr>
          <w:rFonts w:hint="eastAsia" w:ascii="方正书宋_GBK" w:hAnsi="方正书宋_GBK" w:eastAsia="方正书宋_GBK" w:cs="方正书宋_GBK"/>
          <w:sz w:val="32"/>
          <w:szCs w:val="32"/>
          <w:highlight w:val="none"/>
          <w:lang w:val="en-US" w:eastAsia="zh-CN"/>
        </w:rPr>
        <w:t>第八章  监督管理</w:t>
      </w:r>
    </w:p>
    <w:p>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firstLine="640" w:firstLineChars="200"/>
        <w:textAlignment w:val="auto"/>
        <w:outlineLvl w:val="9"/>
        <w:rPr>
          <w:rFonts w:hint="eastAsia" w:ascii="方正书宋_GBK" w:hAnsi="方正书宋_GBK" w:eastAsia="方正书宋_GBK" w:cs="方正书宋_GBK"/>
          <w:sz w:val="32"/>
          <w:szCs w:val="32"/>
          <w:highlight w:val="none"/>
          <w:lang w:val="en-US" w:eastAsia="zh-CN"/>
        </w:rPr>
      </w:pPr>
      <w:r>
        <w:rPr>
          <w:rFonts w:hint="eastAsia" w:ascii="方正书宋_GBK" w:hAnsi="方正书宋_GBK" w:eastAsia="方正书宋_GBK" w:cs="方正书宋_GBK"/>
          <w:sz w:val="32"/>
          <w:szCs w:val="32"/>
          <w:highlight w:val="none"/>
          <w:lang w:val="en-US" w:eastAsia="zh-CN"/>
        </w:rPr>
        <w:t>第九章  法律责任</w:t>
      </w:r>
    </w:p>
    <w:p>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firstLine="640" w:firstLineChars="200"/>
        <w:textAlignment w:val="auto"/>
        <w:outlineLvl w:val="9"/>
        <w:rPr>
          <w:rFonts w:hint="eastAsia" w:ascii="方正书宋_GBK" w:hAnsi="方正书宋_GBK" w:eastAsia="方正书宋_GBK" w:cs="方正书宋_GBK"/>
          <w:sz w:val="32"/>
          <w:szCs w:val="32"/>
          <w:highlight w:val="none"/>
          <w:lang w:val="en-US" w:eastAsia="zh-CN"/>
        </w:rPr>
      </w:pPr>
      <w:r>
        <w:rPr>
          <w:rFonts w:hint="eastAsia" w:ascii="方正书宋_GBK" w:hAnsi="方正书宋_GBK" w:eastAsia="方正书宋_GBK" w:cs="方正书宋_GBK"/>
          <w:sz w:val="32"/>
          <w:szCs w:val="32"/>
          <w:highlight w:val="none"/>
          <w:lang w:val="en-US" w:eastAsia="zh-CN"/>
        </w:rPr>
        <w:t>第十章  附则</w:t>
      </w:r>
    </w:p>
    <w:p>
      <w:pPr>
        <w:keepNext w:val="0"/>
        <w:keepLines w:val="0"/>
        <w:pageBreakBefore w:val="0"/>
        <w:widowControl w:val="0"/>
        <w:kinsoku/>
        <w:wordWrap/>
        <w:overflowPunct/>
        <w:topLinePunct w:val="0"/>
        <w:autoSpaceDE/>
        <w:autoSpaceDN/>
        <w:bidi w:val="0"/>
        <w:adjustRightInd/>
        <w:snapToGrid/>
        <w:spacing w:before="157" w:beforeLines="50" w:after="156" w:afterLines="50" w:line="540" w:lineRule="exact"/>
        <w:ind w:left="0" w:leftChars="0" w:right="0" w:rightChars="0"/>
        <w:jc w:val="center"/>
        <w:textAlignment w:val="auto"/>
        <w:outlineLvl w:val="9"/>
        <w:rPr>
          <w:rFonts w:hint="eastAsia" w:ascii="黑体" w:hAnsi="黑体" w:eastAsia="黑体" w:cs="黑体"/>
          <w:sz w:val="32"/>
          <w:szCs w:val="32"/>
        </w:rPr>
      </w:pPr>
      <w:r>
        <w:rPr>
          <w:rFonts w:hint="eastAsia" w:ascii="黑体" w:hAnsi="黑体" w:eastAsia="黑体" w:cs="黑体"/>
          <w:sz w:val="32"/>
          <w:szCs w:val="32"/>
        </w:rPr>
        <w:t xml:space="preserve">第一章  总 </w:t>
      </w:r>
      <w:r>
        <w:rPr>
          <w:rFonts w:hint="eastAsia" w:ascii="黑体" w:hAnsi="黑体" w:eastAsia="黑体" w:cs="黑体"/>
          <w:sz w:val="32"/>
          <w:szCs w:val="32"/>
          <w:lang w:val="en-US" w:eastAsia="zh-CN"/>
        </w:rPr>
        <w:t xml:space="preserve">  </w:t>
      </w:r>
      <w:r>
        <w:rPr>
          <w:rFonts w:hint="eastAsia" w:ascii="黑体" w:hAnsi="黑体" w:eastAsia="黑体" w:cs="黑体"/>
          <w:sz w:val="32"/>
          <w:szCs w:val="32"/>
        </w:rPr>
        <w:t xml:space="preserve"> 则</w:t>
      </w:r>
    </w:p>
    <w:p>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firstLine="640" w:firstLineChars="200"/>
        <w:textAlignment w:val="auto"/>
        <w:outlineLvl w:val="9"/>
        <w:rPr>
          <w:rFonts w:hint="eastAsia" w:ascii="仿宋_GB2312" w:hAnsi="仿宋_GB2312" w:eastAsia="仿宋_GB2312" w:cs="仿宋_GB2312"/>
          <w:color w:val="000000"/>
          <w:sz w:val="32"/>
          <w:szCs w:val="32"/>
          <w:lang w:val="en-US" w:eastAsia="zh-CN"/>
        </w:rPr>
      </w:pPr>
      <w:r>
        <w:rPr>
          <w:rFonts w:hint="eastAsia" w:ascii="黑体" w:hAnsi="黑体" w:eastAsia="黑体" w:cs="黑体"/>
          <w:color w:val="000000"/>
          <w:sz w:val="32"/>
          <w:szCs w:val="32"/>
        </w:rPr>
        <w:t>第一条</w:t>
      </w:r>
      <w:r>
        <w:rPr>
          <w:rFonts w:hint="eastAsia" w:ascii="仿宋" w:hAnsi="仿宋" w:eastAsia="仿宋_GB2312" w:cs="仿宋"/>
          <w:color w:val="000000"/>
          <w:sz w:val="32"/>
          <w:szCs w:val="32"/>
        </w:rPr>
        <w:t xml:space="preserve">  </w:t>
      </w:r>
      <w:r>
        <w:rPr>
          <w:rFonts w:hint="eastAsia" w:ascii="仿宋_GB2312" w:hAnsi="仿宋_GB2312" w:eastAsia="仿宋_GB2312" w:cs="仿宋_GB2312"/>
          <w:color w:val="000000"/>
          <w:sz w:val="32"/>
          <w:szCs w:val="32"/>
          <w:lang w:val="en-US" w:eastAsia="zh-CN"/>
        </w:rPr>
        <w:t>为了实施积极应对人口老龄化国家战略，规范养老服务工作，完善养老服务体系，促进养老服务健康发展，根据《中华人民共和国老年人权益保障法》和有关法律、行政法规，结合本省实际，制定本条例。</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eastAsia" w:ascii="仿宋_GB2312" w:hAnsi="仿宋_GB2312" w:eastAsia="仿宋_GB2312" w:cs="仿宋_GB2312"/>
          <w:color w:val="000000"/>
          <w:sz w:val="32"/>
          <w:szCs w:val="32"/>
        </w:rPr>
      </w:pPr>
      <w:r>
        <w:rPr>
          <w:rFonts w:hint="eastAsia" w:ascii="黑体" w:hAnsi="黑体" w:eastAsia="黑体" w:cs="黑体"/>
          <w:color w:val="000000"/>
          <w:sz w:val="32"/>
          <w:szCs w:val="32"/>
        </w:rPr>
        <w:t>第二条</w:t>
      </w:r>
      <w:r>
        <w:rPr>
          <w:rFonts w:hint="eastAsia" w:ascii="仿宋" w:hAnsi="仿宋" w:eastAsia="仿宋_GB2312" w:cs="仿宋"/>
          <w:color w:val="000000"/>
          <w:sz w:val="32"/>
          <w:szCs w:val="32"/>
        </w:rPr>
        <w:t xml:space="preserve">  </w:t>
      </w:r>
      <w:r>
        <w:rPr>
          <w:rFonts w:hint="eastAsia" w:ascii="仿宋_GB2312" w:hAnsi="仿宋_GB2312" w:eastAsia="仿宋_GB2312" w:cs="仿宋_GB2312"/>
          <w:color w:val="000000"/>
          <w:sz w:val="32"/>
          <w:szCs w:val="32"/>
        </w:rPr>
        <w:t>本省行政区域内养老服务及其监督管理等活动，适用本条例。</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本条例所称的养老服务，是指在家庭成员承担赡养、扶养义务的基础上，由政府和社会为老年人提供的生活照料、康复护理、健康管理、精神慰藉、心理咨询、安宁疗护、紧急救援和文体娱乐等服务。</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eastAsia" w:ascii="仿宋_GB2312" w:hAnsi="仿宋_GB2312" w:eastAsia="仿宋_GB2312" w:cs="仿宋_GB2312"/>
          <w:color w:val="000000"/>
          <w:sz w:val="32"/>
          <w:szCs w:val="32"/>
          <w:lang w:val="en-US" w:eastAsia="zh-CN"/>
        </w:rPr>
      </w:pPr>
      <w:r>
        <w:rPr>
          <w:rFonts w:hint="eastAsia" w:ascii="黑体" w:hAnsi="黑体" w:eastAsia="黑体" w:cs="黑体"/>
          <w:color w:val="000000"/>
          <w:sz w:val="32"/>
          <w:szCs w:val="32"/>
        </w:rPr>
        <w:t xml:space="preserve">第三条 </w:t>
      </w:r>
      <w:r>
        <w:rPr>
          <w:rFonts w:hint="eastAsia" w:ascii="仿宋" w:hAnsi="仿宋" w:eastAsia="仿宋_GB2312" w:cs="仿宋"/>
          <w:color w:val="000000"/>
          <w:sz w:val="32"/>
          <w:szCs w:val="32"/>
        </w:rPr>
        <w:t xml:space="preserve"> </w:t>
      </w:r>
      <w:r>
        <w:rPr>
          <w:rFonts w:hint="eastAsia" w:ascii="仿宋_GB2312" w:hAnsi="仿宋_GB2312" w:eastAsia="仿宋_GB2312" w:cs="仿宋_GB2312"/>
          <w:color w:val="000000"/>
          <w:sz w:val="32"/>
          <w:szCs w:val="32"/>
          <w:lang w:val="en-US" w:eastAsia="zh-CN"/>
        </w:rPr>
        <w:t>养老服务应当遵循政府主导、社会参与、全民行动、保障基本、普惠多样的原则，充分发挥市场机制作用，聚合现代经济发展要素，健全开放、竞争、公平、有序的养老服务市场，构建居家社区机构相协调、医养康养相结合的养老服务体系，促进养老事业高质量发展。</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eastAsia" w:ascii="仿宋_GB2312" w:hAnsi="仿宋_GB2312" w:eastAsia="仿宋_GB2312" w:cs="仿宋_GB2312"/>
          <w:color w:val="000000"/>
          <w:sz w:val="32"/>
          <w:szCs w:val="32"/>
          <w:lang w:val="en-US" w:eastAsia="zh-CN"/>
        </w:rPr>
      </w:pPr>
      <w:r>
        <w:rPr>
          <w:rFonts w:hint="eastAsia" w:ascii="黑体" w:hAnsi="黑体" w:eastAsia="黑体" w:cs="黑体"/>
          <w:color w:val="000000"/>
          <w:sz w:val="32"/>
          <w:szCs w:val="32"/>
        </w:rPr>
        <w:t>第四条</w:t>
      </w:r>
      <w:r>
        <w:rPr>
          <w:rFonts w:hint="eastAsia" w:ascii="仿宋" w:hAnsi="仿宋" w:eastAsia="仿宋_GB2312" w:cs="仿宋"/>
          <w:color w:val="000000"/>
          <w:sz w:val="32"/>
          <w:szCs w:val="32"/>
        </w:rPr>
        <w:t xml:space="preserve">  </w:t>
      </w:r>
      <w:r>
        <w:rPr>
          <w:rFonts w:hint="eastAsia" w:ascii="仿宋_GB2312" w:hAnsi="仿宋_GB2312" w:eastAsia="仿宋_GB2312" w:cs="仿宋_GB2312"/>
          <w:color w:val="000000"/>
          <w:sz w:val="32"/>
          <w:szCs w:val="32"/>
          <w:lang w:val="en-US" w:eastAsia="zh-CN"/>
        </w:rPr>
        <w:t>县级以上地方人民政府应当将养老服务纳入本地区国民经济和社会发展规划，并将养老服务工作纳入年度工作计划和绩效考核范围，所需经费纳入同级财政预算，与经济社会发展同步增长。</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县级以上地方人民政府民政部门主管本行政区域内的养老服务工作；卫生健康部门负责推进老年健康服务体系建设和医养结合工作；医疗保障部门负责拟订及落实医养结合相关医疗保险政策，推进长期护理保险制度建设；其他有关部门应当按照职责分工，共同做好养老服务工作。</w:t>
      </w:r>
    </w:p>
    <w:p>
      <w:pPr>
        <w:pStyle w:val="13"/>
        <w:keepNext w:val="0"/>
        <w:keepLines w:val="0"/>
        <w:pageBreakBefore w:val="0"/>
        <w:widowControl w:val="0"/>
        <w:kinsoku/>
        <w:wordWrap/>
        <w:overflowPunct/>
        <w:topLinePunct w:val="0"/>
        <w:autoSpaceDE/>
        <w:autoSpaceDN/>
        <w:bidi w:val="0"/>
        <w:adjustRightInd/>
        <w:snapToGrid/>
        <w:spacing w:after="0" w:afterLines="0" w:line="560" w:lineRule="exact"/>
        <w:ind w:left="0" w:leftChars="0" w:right="0" w:rightChars="0" w:firstLine="616" w:firstLineChars="200"/>
        <w:textAlignment w:val="auto"/>
        <w:outlineLvl w:val="9"/>
        <w:rPr>
          <w:rFonts w:hint="eastAsia" w:ascii="仿宋_GB2312" w:hAnsi="仿宋_GB2312" w:eastAsia="仿宋_GB2312" w:cs="仿宋_GB2312"/>
          <w:color w:val="000000"/>
          <w:kern w:val="2"/>
          <w:sz w:val="32"/>
          <w:szCs w:val="32"/>
          <w:lang w:val="en-US" w:eastAsia="zh-CN" w:bidi="ar-SA"/>
        </w:rPr>
      </w:pPr>
      <w:r>
        <w:rPr>
          <w:rFonts w:hint="eastAsia" w:ascii="仿宋_GB2312" w:hAnsi="仿宋_GB2312" w:eastAsia="仿宋_GB2312" w:cs="仿宋_GB2312"/>
          <w:color w:val="000000"/>
          <w:spacing w:val="-6"/>
          <w:sz w:val="32"/>
          <w:szCs w:val="32"/>
        </w:rPr>
        <w:t>乡（镇）</w:t>
      </w:r>
      <w:r>
        <w:rPr>
          <w:rFonts w:hint="eastAsia" w:ascii="仿宋_GB2312" w:hAnsi="仿宋_GB2312" w:eastAsia="仿宋_GB2312" w:cs="仿宋_GB2312"/>
          <w:color w:val="000000"/>
          <w:kern w:val="2"/>
          <w:sz w:val="32"/>
          <w:szCs w:val="32"/>
          <w:lang w:val="en-US" w:eastAsia="zh-CN" w:bidi="ar-SA"/>
        </w:rPr>
        <w:t>人民政府、街道办事处负责具体实施本辖区内的养老服务工作，通过配备相应的社区工作者或者政府购买服务等方式，加强养老服务工作力量。</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eastAsia" w:ascii="仿宋_GB2312" w:hAnsi="仿宋_GB2312" w:eastAsia="仿宋_GB2312" w:cs="仿宋_GB2312"/>
          <w:color w:val="000000"/>
          <w:sz w:val="32"/>
          <w:szCs w:val="32"/>
          <w:highlight w:val="none"/>
          <w:lang w:val="en-US" w:eastAsia="zh-CN"/>
        </w:rPr>
      </w:pPr>
      <w:r>
        <w:rPr>
          <w:rFonts w:hint="eastAsia" w:ascii="黑体" w:hAnsi="黑体" w:eastAsia="黑体" w:cs="黑体"/>
          <w:color w:val="000000"/>
          <w:sz w:val="32"/>
          <w:szCs w:val="32"/>
          <w:highlight w:val="none"/>
        </w:rPr>
        <w:t>第五条</w:t>
      </w:r>
      <w:r>
        <w:rPr>
          <w:rFonts w:hint="eastAsia" w:ascii="仿宋" w:hAnsi="仿宋" w:eastAsia="仿宋_GB2312" w:cs="仿宋"/>
          <w:color w:val="000000"/>
          <w:sz w:val="32"/>
          <w:szCs w:val="32"/>
          <w:highlight w:val="none"/>
        </w:rPr>
        <w:t xml:space="preserve">  </w:t>
      </w:r>
      <w:r>
        <w:rPr>
          <w:rFonts w:hint="eastAsia" w:ascii="仿宋_GB2312" w:hAnsi="仿宋_GB2312" w:eastAsia="仿宋_GB2312" w:cs="仿宋_GB2312"/>
          <w:color w:val="000000"/>
          <w:sz w:val="32"/>
          <w:szCs w:val="32"/>
          <w:highlight w:val="none"/>
          <w:lang w:val="en-US" w:eastAsia="zh-CN"/>
        </w:rPr>
        <w:t>县级以上地方人民政府应当建立健全协调工作机制，定期研究解决养老服务工作中的重大问题，督促检查养老服务有关政策措施落实情况。</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eastAsia" w:ascii="仿宋_GB2312" w:hAnsi="仿宋_GB2312" w:eastAsia="仿宋_GB2312" w:cs="仿宋_GB2312"/>
          <w:color w:val="000000"/>
          <w:sz w:val="32"/>
          <w:szCs w:val="32"/>
          <w:lang w:val="en-US" w:eastAsia="zh-CN"/>
        </w:rPr>
      </w:pPr>
      <w:r>
        <w:rPr>
          <w:rFonts w:hint="eastAsia" w:ascii="黑体" w:hAnsi="黑体" w:eastAsia="黑体" w:cs="黑体"/>
          <w:color w:val="000000"/>
          <w:sz w:val="32"/>
          <w:szCs w:val="32"/>
        </w:rPr>
        <w:t>第</w:t>
      </w:r>
      <w:r>
        <w:rPr>
          <w:rFonts w:hint="eastAsia" w:ascii="黑体" w:hAnsi="黑体" w:eastAsia="黑体" w:cs="黑体"/>
          <w:color w:val="000000"/>
          <w:sz w:val="32"/>
          <w:szCs w:val="32"/>
          <w:lang w:val="en-US" w:eastAsia="zh-CN"/>
        </w:rPr>
        <w:t>六</w:t>
      </w:r>
      <w:r>
        <w:rPr>
          <w:rFonts w:hint="eastAsia" w:ascii="黑体" w:hAnsi="黑体" w:eastAsia="黑体" w:cs="黑体"/>
          <w:color w:val="000000"/>
          <w:sz w:val="32"/>
          <w:szCs w:val="32"/>
        </w:rPr>
        <w:t>条</w:t>
      </w:r>
      <w:r>
        <w:rPr>
          <w:rFonts w:hint="eastAsia" w:ascii="仿宋" w:hAnsi="仿宋" w:eastAsia="仿宋_GB2312" w:cs="仿宋"/>
          <w:color w:val="000000"/>
          <w:sz w:val="32"/>
          <w:szCs w:val="32"/>
        </w:rPr>
        <w:t xml:space="preserve">  </w:t>
      </w:r>
      <w:r>
        <w:rPr>
          <w:rFonts w:hint="eastAsia" w:ascii="仿宋_GB2312" w:hAnsi="仿宋_GB2312" w:eastAsia="仿宋_GB2312" w:cs="仿宋_GB2312"/>
          <w:color w:val="000000"/>
          <w:sz w:val="32"/>
          <w:szCs w:val="32"/>
          <w:lang w:val="en-US" w:eastAsia="zh-CN"/>
        </w:rPr>
        <w:fldChar w:fldCharType="begin"/>
      </w:r>
      <w:r>
        <w:rPr>
          <w:rFonts w:hint="eastAsia" w:ascii="仿宋_GB2312" w:hAnsi="仿宋_GB2312" w:eastAsia="仿宋_GB2312" w:cs="仿宋_GB2312"/>
          <w:color w:val="000000"/>
          <w:sz w:val="32"/>
          <w:szCs w:val="32"/>
          <w:lang w:val="en-US" w:eastAsia="zh-CN"/>
        </w:rPr>
        <w:instrText xml:space="preserve"> HYPERLINK "https://www.pkulaw.com/lar/a7021dbae0b74ef10e8149d44f7fdd5bbdfb.html?keyword=%E5%9F%BA%E6%9C%AC%E5%85%BB%E8%80%81%E5%85%AC%E5%85%B1%E6%9C%8D%E5%8A%A1&amp;tiao=1" \t "https://www.pkulaw.com/_blank" </w:instrText>
      </w:r>
      <w:r>
        <w:rPr>
          <w:rFonts w:hint="eastAsia" w:ascii="仿宋_GB2312" w:hAnsi="仿宋_GB2312" w:eastAsia="仿宋_GB2312" w:cs="仿宋_GB2312"/>
          <w:color w:val="000000"/>
          <w:sz w:val="32"/>
          <w:szCs w:val="32"/>
          <w:lang w:val="en-US" w:eastAsia="zh-CN"/>
        </w:rPr>
        <w:fldChar w:fldCharType="separate"/>
      </w:r>
      <w:r>
        <w:rPr>
          <w:rFonts w:hint="eastAsia" w:ascii="仿宋_GB2312" w:hAnsi="仿宋_GB2312" w:eastAsia="仿宋_GB2312" w:cs="仿宋_GB2312"/>
          <w:color w:val="000000"/>
          <w:sz w:val="32"/>
          <w:szCs w:val="32"/>
          <w:lang w:val="en-US" w:eastAsia="zh-CN"/>
        </w:rPr>
        <w:t>县级以上地方人民政府应当增加基本养老服务供给，对不同老年人群体分类提供适宜的养老服务，定期向社会发布基本养老服务清单。清单应当明确服务对象、服务内容、服务标准和责任主体等，并根据经济社会发展水平、财政状况、养老服务需求变化等情况，适时进行调整。</w:t>
      </w:r>
      <w:r>
        <w:rPr>
          <w:rFonts w:hint="eastAsia" w:ascii="仿宋_GB2312" w:hAnsi="仿宋_GB2312" w:eastAsia="仿宋_GB2312" w:cs="仿宋_GB2312"/>
          <w:color w:val="000000"/>
          <w:sz w:val="32"/>
          <w:szCs w:val="32"/>
          <w:lang w:val="en-US" w:eastAsia="zh-CN"/>
        </w:rPr>
        <w:fldChar w:fldCharType="end"/>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eastAsia" w:ascii="仿宋_GB2312" w:hAnsi="仿宋_GB2312" w:eastAsia="仿宋_GB2312" w:cs="仿宋_GB2312"/>
          <w:color w:val="000000"/>
          <w:sz w:val="32"/>
          <w:szCs w:val="32"/>
          <w:lang w:val="en-US" w:eastAsia="zh-CN"/>
        </w:rPr>
      </w:pPr>
      <w:r>
        <w:rPr>
          <w:rFonts w:hint="eastAsia" w:ascii="黑体" w:hAnsi="黑体" w:eastAsia="黑体" w:cs="黑体"/>
          <w:color w:val="auto"/>
          <w:sz w:val="32"/>
          <w:szCs w:val="32"/>
        </w:rPr>
        <w:t>第</w:t>
      </w:r>
      <w:r>
        <w:rPr>
          <w:rFonts w:hint="eastAsia" w:ascii="黑体" w:hAnsi="黑体" w:eastAsia="黑体" w:cs="黑体"/>
          <w:color w:val="auto"/>
          <w:sz w:val="32"/>
          <w:szCs w:val="32"/>
          <w:lang w:eastAsia="zh-CN"/>
        </w:rPr>
        <w:t>七</w:t>
      </w:r>
      <w:r>
        <w:rPr>
          <w:rFonts w:hint="eastAsia" w:ascii="黑体" w:hAnsi="黑体" w:eastAsia="黑体" w:cs="黑体"/>
          <w:color w:val="auto"/>
          <w:sz w:val="32"/>
          <w:szCs w:val="32"/>
        </w:rPr>
        <w:t>条</w:t>
      </w:r>
      <w:r>
        <w:rPr>
          <w:rFonts w:hint="eastAsia" w:ascii="仿宋" w:hAnsi="仿宋" w:eastAsia="仿宋_GB2312" w:cs="仿宋"/>
          <w:color w:val="000000"/>
          <w:sz w:val="32"/>
          <w:szCs w:val="32"/>
        </w:rPr>
        <w:t xml:space="preserve">  </w:t>
      </w:r>
      <w:r>
        <w:rPr>
          <w:rFonts w:hint="eastAsia" w:ascii="仿宋_GB2312" w:hAnsi="仿宋_GB2312" w:eastAsia="仿宋_GB2312" w:cs="仿宋_GB2312"/>
          <w:color w:val="000000"/>
          <w:sz w:val="32"/>
          <w:szCs w:val="32"/>
          <w:lang w:val="en-US" w:eastAsia="zh-CN"/>
        </w:rPr>
        <w:t>老年人养老以居家为基础。老年人的子女及其他依法负有赡养、扶养义务的人，应当履行对老年人经济供养、生活照料、健康关心和精神慰藉的义务，满足老年人的基本需要。</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家庭成员应当尊重、关心和照料老年人，倡导其与老年人共同生活或者就近居住。与老年人分开居住的家庭成员，应当经常看望或者问候老年人，关心老年人的日常生活，掌握老年人的身心健康情况。</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对赡养负担重的零就业家庭成员，按规定优先安排其在公益性岗位就业。</w:t>
      </w:r>
    </w:p>
    <w:p>
      <w:pPr>
        <w:pStyle w:val="2"/>
        <w:keepNext w:val="0"/>
        <w:keepLines w:val="0"/>
        <w:pageBreakBefore w:val="0"/>
        <w:widowControl w:val="0"/>
        <w:kinsoku/>
        <w:wordWrap/>
        <w:overflowPunct/>
        <w:topLinePunct w:val="0"/>
        <w:bidi w:val="0"/>
        <w:snapToGrid/>
        <w:spacing w:line="560" w:lineRule="exact"/>
        <w:ind w:left="0" w:leftChars="0" w:right="0" w:rightChars="0" w:firstLine="640"/>
        <w:textAlignment w:val="auto"/>
        <w:outlineLvl w:val="9"/>
        <w:rPr>
          <w:rFonts w:hint="eastAsia" w:ascii="仿宋_GB2312" w:hAnsi="仿宋_GB2312" w:eastAsia="仿宋_GB2312" w:cs="仿宋_GB2312"/>
          <w:color w:val="000000"/>
          <w:kern w:val="2"/>
          <w:sz w:val="32"/>
          <w:szCs w:val="32"/>
          <w:lang w:val="en-US" w:eastAsia="zh-CN" w:bidi="ar-SA"/>
        </w:rPr>
      </w:pPr>
      <w:r>
        <w:rPr>
          <w:rFonts w:hint="eastAsia" w:ascii="黑体" w:hAnsi="黑体" w:eastAsia="黑体" w:cs="黑体"/>
          <w:color w:val="auto"/>
          <w:sz w:val="32"/>
          <w:szCs w:val="32"/>
        </w:rPr>
        <w:t>第</w:t>
      </w:r>
      <w:r>
        <w:rPr>
          <w:rFonts w:hint="eastAsia" w:ascii="黑体" w:hAnsi="黑体" w:eastAsia="黑体" w:cs="黑体"/>
          <w:spacing w:val="6"/>
          <w:kern w:val="2"/>
          <w:sz w:val="32"/>
          <w:szCs w:val="32"/>
          <w:highlight w:val="none"/>
          <w:lang w:val="en-US" w:eastAsia="zh-CN" w:bidi="ar-SA"/>
        </w:rPr>
        <w:t>八</w:t>
      </w:r>
      <w:r>
        <w:rPr>
          <w:rFonts w:hint="eastAsia" w:ascii="黑体" w:hAnsi="黑体" w:eastAsia="黑体" w:cs="黑体"/>
          <w:color w:val="auto"/>
          <w:sz w:val="32"/>
          <w:szCs w:val="32"/>
        </w:rPr>
        <w:t>条</w:t>
      </w:r>
      <w:r>
        <w:rPr>
          <w:rFonts w:hint="eastAsia" w:ascii="黑体" w:hAnsi="黑体" w:eastAsia="黑体" w:cs="黑体"/>
          <w:sz w:val="32"/>
          <w:szCs w:val="32"/>
          <w:highlight w:val="none"/>
          <w:lang w:val="en-US" w:eastAsia="zh-CN"/>
        </w:rPr>
        <w:t xml:space="preserve">  </w:t>
      </w:r>
      <w:r>
        <w:rPr>
          <w:rFonts w:hint="eastAsia" w:ascii="仿宋_GB2312" w:hAnsi="仿宋_GB2312" w:eastAsia="仿宋_GB2312" w:cs="仿宋_GB2312"/>
          <w:color w:val="000000"/>
          <w:kern w:val="2"/>
          <w:sz w:val="32"/>
          <w:szCs w:val="32"/>
          <w:lang w:val="en-US" w:eastAsia="zh-CN" w:bidi="ar-SA"/>
        </w:rPr>
        <w:t>人民团体、社会组织根据职责或者章程，发挥各自优势，协同做好养老服务工作。</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eastAsia" w:ascii="仿宋_GB2312" w:hAnsi="仿宋_GB2312" w:eastAsia="仿宋_GB2312" w:cs="仿宋_GB2312"/>
          <w:color w:val="000000"/>
          <w:kern w:val="2"/>
          <w:sz w:val="32"/>
          <w:szCs w:val="32"/>
          <w:lang w:val="en-US" w:eastAsia="zh-CN" w:bidi="ar-SA"/>
        </w:rPr>
      </w:pPr>
      <w:r>
        <w:rPr>
          <w:rFonts w:hint="eastAsia" w:ascii="仿宋_GB2312" w:hAnsi="仿宋_GB2312" w:eastAsia="仿宋_GB2312" w:cs="仿宋_GB2312"/>
          <w:color w:val="000000"/>
          <w:kern w:val="2"/>
          <w:sz w:val="32"/>
          <w:szCs w:val="32"/>
          <w:lang w:val="en-US" w:eastAsia="zh-CN" w:bidi="ar-SA"/>
        </w:rPr>
        <w:t>村（居）民委员会应当发挥自治功能和优势，着力帮助老年人解决困难和问题，做好养老服务工作。</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eastAsia" w:ascii="仿宋_GB2312" w:hAnsi="仿宋_GB2312" w:eastAsia="仿宋_GB2312" w:cs="仿宋_GB2312"/>
          <w:color w:val="000000"/>
          <w:kern w:val="2"/>
          <w:sz w:val="32"/>
          <w:szCs w:val="32"/>
          <w:lang w:val="en-US" w:eastAsia="zh-CN" w:bidi="ar-SA"/>
        </w:rPr>
      </w:pPr>
      <w:r>
        <w:rPr>
          <w:rFonts w:hint="eastAsia" w:ascii="仿宋_GB2312" w:hAnsi="仿宋_GB2312" w:eastAsia="仿宋_GB2312" w:cs="仿宋_GB2312"/>
          <w:color w:val="000000"/>
          <w:kern w:val="2"/>
          <w:sz w:val="32"/>
          <w:szCs w:val="32"/>
          <w:lang w:val="en-US" w:eastAsia="zh-CN" w:bidi="ar-SA"/>
        </w:rPr>
        <w:t>鼓励自然人、法人和非法人组织以各种形式参与或者支持养老服务，开展结对帮扶、定期探访等老年人关爱服务活动，以及有益于老年人身心健康的活动。</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eastAsia" w:ascii="仿宋_GB2312" w:hAnsi="仿宋_GB2312" w:eastAsia="仿宋_GB2312" w:cs="仿宋_GB2312"/>
          <w:color w:val="000000"/>
          <w:kern w:val="2"/>
          <w:sz w:val="32"/>
          <w:szCs w:val="32"/>
          <w:lang w:val="en-US" w:eastAsia="zh-CN" w:bidi="ar-SA"/>
        </w:rPr>
      </w:pPr>
      <w:r>
        <w:rPr>
          <w:rFonts w:hint="eastAsia" w:ascii="仿宋_GB2312" w:hAnsi="仿宋_GB2312" w:eastAsia="仿宋_GB2312" w:cs="仿宋_GB2312"/>
          <w:color w:val="000000"/>
          <w:kern w:val="2"/>
          <w:sz w:val="32"/>
          <w:szCs w:val="32"/>
          <w:lang w:val="en-US" w:eastAsia="zh-CN" w:bidi="ar-SA"/>
        </w:rPr>
        <w:t>行政机关、国有企业事业单位组织开展服务老年人志愿活动的情况，可以纳入精神文明综合考评内容。</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eastAsia" w:ascii="仿宋_GB2312" w:hAnsi="仿宋_GB2312" w:eastAsia="仿宋_GB2312" w:cs="仿宋_GB2312"/>
          <w:color w:val="000000"/>
          <w:sz w:val="32"/>
          <w:szCs w:val="32"/>
          <w:lang w:val="en-US" w:eastAsia="zh-CN"/>
        </w:rPr>
      </w:pPr>
      <w:r>
        <w:rPr>
          <w:rFonts w:hint="eastAsia" w:ascii="黑体" w:hAnsi="黑体" w:eastAsia="黑体" w:cs="黑体"/>
          <w:color w:val="auto"/>
          <w:sz w:val="32"/>
          <w:szCs w:val="32"/>
          <w:lang w:val="en-US" w:eastAsia="zh-CN"/>
        </w:rPr>
        <w:t>第九条</w:t>
      </w:r>
      <w:r>
        <w:rPr>
          <w:rFonts w:hint="eastAsia" w:ascii="仿宋_GB2312" w:hAnsi="仿宋_GB2312" w:eastAsia="仿宋_GB2312" w:cs="仿宋_GB2312"/>
          <w:color w:val="000000"/>
          <w:sz w:val="32"/>
          <w:szCs w:val="32"/>
          <w:lang w:val="en-US" w:eastAsia="zh-CN"/>
        </w:rPr>
        <w:t xml:space="preserve">  老年人应当树立积极老龄观、健康老龄化理念，全社会应当弘扬中华民族孝亲敬老的传统美德，积极践行社会主义核心价值观，树立尊重、关心、帮助老年人的社会风尚。</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行政机关、企业事业单位、新闻媒体应当加强对养老服务的公益宣传，传播健身、康养、维权等知识，丰富老年人的精神文化生活，提高老年人识别和防范非法集资、电信诈骗等非法侵害的能力。</w:t>
      </w:r>
    </w:p>
    <w:p>
      <w:pPr>
        <w:pStyle w:val="2"/>
        <w:keepNext w:val="0"/>
        <w:keepLines w:val="0"/>
        <w:pageBreakBefore w:val="0"/>
        <w:widowControl w:val="0"/>
        <w:kinsoku/>
        <w:wordWrap/>
        <w:overflowPunct/>
        <w:topLinePunct w:val="0"/>
        <w:bidi w:val="0"/>
        <w:snapToGrid/>
        <w:spacing w:line="560" w:lineRule="exact"/>
        <w:ind w:left="0" w:leftChars="0" w:right="0" w:rightChars="0" w:firstLine="640"/>
        <w:jc w:val="both"/>
        <w:textAlignment w:val="auto"/>
        <w:outlineLvl w:val="9"/>
        <w:rPr>
          <w:rFonts w:hint="eastAsia" w:ascii="仿宋_GB2312" w:hAnsi="仿宋_GB2312" w:eastAsia="仿宋_GB2312" w:cs="仿宋_GB2312"/>
          <w:color w:val="000000"/>
          <w:spacing w:val="0"/>
          <w:kern w:val="2"/>
          <w:sz w:val="32"/>
          <w:szCs w:val="32"/>
          <w:lang w:val="en-US" w:eastAsia="zh-CN" w:bidi="ar-SA"/>
        </w:rPr>
      </w:pPr>
      <w:r>
        <w:rPr>
          <w:rFonts w:hint="eastAsia" w:ascii="黑体" w:hAnsi="黑体" w:eastAsia="黑体" w:cs="黑体"/>
          <w:color w:val="auto"/>
          <w:spacing w:val="0"/>
          <w:sz w:val="32"/>
          <w:szCs w:val="32"/>
          <w:highlight w:val="none"/>
        </w:rPr>
        <w:t>第</w:t>
      </w:r>
      <w:r>
        <w:rPr>
          <w:rFonts w:hint="eastAsia" w:ascii="黑体" w:hAnsi="黑体" w:eastAsia="黑体" w:cs="黑体"/>
          <w:color w:val="auto"/>
          <w:spacing w:val="0"/>
          <w:sz w:val="32"/>
          <w:szCs w:val="32"/>
          <w:highlight w:val="none"/>
          <w:lang w:eastAsia="zh-CN"/>
        </w:rPr>
        <w:t>十</w:t>
      </w:r>
      <w:r>
        <w:rPr>
          <w:rFonts w:hint="eastAsia" w:ascii="黑体" w:hAnsi="黑体" w:eastAsia="黑体" w:cs="黑体"/>
          <w:color w:val="auto"/>
          <w:spacing w:val="0"/>
          <w:sz w:val="32"/>
          <w:szCs w:val="32"/>
          <w:highlight w:val="none"/>
        </w:rPr>
        <w:t>条</w:t>
      </w:r>
      <w:r>
        <w:rPr>
          <w:rFonts w:hint="eastAsia" w:ascii="仿宋" w:hAnsi="仿宋" w:eastAsia="仿宋_GB2312" w:cs="仿宋"/>
          <w:color w:val="000000"/>
          <w:spacing w:val="0"/>
          <w:sz w:val="32"/>
          <w:szCs w:val="32"/>
          <w:highlight w:val="none"/>
          <w:lang w:val="en-US" w:eastAsia="zh-CN"/>
        </w:rPr>
        <w:t xml:space="preserve">  </w:t>
      </w:r>
      <w:r>
        <w:rPr>
          <w:rFonts w:hint="eastAsia" w:ascii="仿宋_GB2312" w:hAnsi="仿宋_GB2312" w:eastAsia="仿宋_GB2312" w:cs="仿宋_GB2312"/>
          <w:color w:val="000000"/>
          <w:spacing w:val="0"/>
          <w:kern w:val="2"/>
          <w:sz w:val="32"/>
          <w:szCs w:val="32"/>
          <w:lang w:val="en-US" w:eastAsia="zh-CN" w:bidi="ar-SA"/>
        </w:rPr>
        <w:t>六十五周岁以上老年人免费乘坐城市公共交通工具。老年人出行，应当予以优待礼让。</w:t>
      </w:r>
    </w:p>
    <w:p>
      <w:pPr>
        <w:pStyle w:val="2"/>
        <w:keepNext w:val="0"/>
        <w:keepLines w:val="0"/>
        <w:pageBreakBefore w:val="0"/>
        <w:widowControl w:val="0"/>
        <w:kinsoku/>
        <w:wordWrap/>
        <w:overflowPunct/>
        <w:topLinePunct w:val="0"/>
        <w:bidi w:val="0"/>
        <w:snapToGrid/>
        <w:spacing w:line="560" w:lineRule="exact"/>
        <w:ind w:left="0" w:leftChars="0" w:right="0" w:rightChars="0" w:firstLine="640"/>
        <w:textAlignment w:val="auto"/>
        <w:outlineLvl w:val="9"/>
        <w:rPr>
          <w:rFonts w:hint="eastAsia" w:ascii="仿宋_GB2312" w:hAnsi="仿宋_GB2312" w:eastAsia="仿宋_GB2312" w:cs="仿宋_GB2312"/>
          <w:color w:val="000000"/>
          <w:kern w:val="2"/>
          <w:sz w:val="32"/>
          <w:szCs w:val="32"/>
          <w:lang w:val="en-US" w:eastAsia="zh-CN" w:bidi="ar-SA"/>
        </w:rPr>
      </w:pPr>
      <w:r>
        <w:rPr>
          <w:rFonts w:hint="eastAsia" w:ascii="仿宋_GB2312" w:hAnsi="仿宋_GB2312" w:eastAsia="仿宋_GB2312" w:cs="仿宋_GB2312"/>
          <w:color w:val="000000"/>
          <w:kern w:val="2"/>
          <w:sz w:val="32"/>
          <w:szCs w:val="32"/>
          <w:lang w:val="en-US" w:eastAsia="zh-CN" w:bidi="ar-SA"/>
        </w:rPr>
        <w:t>实行政府指导价的公园、景点等，应当对老年人实行免收门票等优待政策。</w:t>
      </w:r>
    </w:p>
    <w:p>
      <w:pPr>
        <w:pStyle w:val="2"/>
        <w:keepNext w:val="0"/>
        <w:keepLines w:val="0"/>
        <w:pageBreakBefore w:val="0"/>
        <w:widowControl w:val="0"/>
        <w:kinsoku/>
        <w:wordWrap/>
        <w:overflowPunct/>
        <w:topLinePunct w:val="0"/>
        <w:bidi w:val="0"/>
        <w:snapToGrid/>
        <w:spacing w:line="560" w:lineRule="exact"/>
        <w:ind w:left="0" w:leftChars="0" w:right="0" w:rightChars="0" w:firstLine="640"/>
        <w:textAlignment w:val="auto"/>
        <w:outlineLvl w:val="9"/>
        <w:rPr>
          <w:rFonts w:hint="eastAsia" w:ascii="仿宋_GB2312" w:hAnsi="仿宋_GB2312" w:eastAsia="仿宋_GB2312" w:cs="仿宋_GB2312"/>
          <w:color w:val="000000"/>
          <w:kern w:val="2"/>
          <w:sz w:val="32"/>
          <w:szCs w:val="32"/>
          <w:lang w:val="en-US" w:eastAsia="zh-CN" w:bidi="ar-SA"/>
        </w:rPr>
      </w:pPr>
      <w:r>
        <w:rPr>
          <w:rFonts w:hint="eastAsia" w:ascii="仿宋_GB2312" w:hAnsi="仿宋_GB2312" w:eastAsia="仿宋_GB2312" w:cs="仿宋_GB2312"/>
          <w:color w:val="000000"/>
          <w:kern w:val="2"/>
          <w:sz w:val="32"/>
          <w:szCs w:val="32"/>
          <w:lang w:val="en-US" w:eastAsia="zh-CN" w:bidi="ar-SA"/>
        </w:rPr>
        <w:t>发生公共卫生突发事件时，各级政府及其有关部门应当通过上门服务、开辟绿色通道等方式，为行动不便的老年人提供优先服务。公园、医疗机构等公共场所应当通过身份信息共享等方式，为老年人提供便利条件。</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eastAsia" w:ascii="仿宋_GB2312" w:hAnsi="仿宋_GB2312" w:eastAsia="仿宋_GB2312" w:cs="仿宋_GB2312"/>
          <w:color w:val="000000"/>
          <w:kern w:val="2"/>
          <w:sz w:val="32"/>
          <w:szCs w:val="32"/>
          <w:lang w:val="en-US" w:eastAsia="zh-CN" w:bidi="ar-SA"/>
        </w:rPr>
      </w:pPr>
      <w:r>
        <w:rPr>
          <w:rFonts w:hint="eastAsia" w:ascii="黑体" w:hAnsi="黑体" w:eastAsia="黑体" w:cs="黑体"/>
          <w:sz w:val="32"/>
          <w:szCs w:val="32"/>
          <w:highlight w:val="none"/>
          <w:lang w:eastAsia="zh-CN"/>
        </w:rPr>
        <w:t>第十一条</w:t>
      </w:r>
      <w:r>
        <w:rPr>
          <w:rFonts w:hint="eastAsia" w:ascii="仿宋" w:hAnsi="仿宋" w:eastAsia="仿宋_GB2312" w:cs="仿宋"/>
          <w:color w:val="000000"/>
          <w:sz w:val="32"/>
          <w:szCs w:val="32"/>
        </w:rPr>
        <w:t xml:space="preserve">  </w:t>
      </w:r>
      <w:r>
        <w:rPr>
          <w:rFonts w:hint="eastAsia" w:ascii="仿宋_GB2312" w:hAnsi="仿宋_GB2312" w:eastAsia="仿宋_GB2312" w:cs="仿宋_GB2312"/>
          <w:color w:val="000000"/>
          <w:kern w:val="2"/>
          <w:sz w:val="32"/>
          <w:szCs w:val="32"/>
          <w:lang w:val="en-US" w:eastAsia="zh-CN" w:bidi="ar-SA"/>
        </w:rPr>
        <w:t>支持开展养老服务领域的科学研究活动，加强养老服务相关技术标准、服务模式、发展经验等方面的交流合作。</w:t>
      </w:r>
    </w:p>
    <w:p>
      <w:pPr>
        <w:keepNext w:val="0"/>
        <w:keepLines w:val="0"/>
        <w:pageBreakBefore w:val="0"/>
        <w:widowControl w:val="0"/>
        <w:kinsoku/>
        <w:wordWrap/>
        <w:overflowPunct/>
        <w:topLinePunct w:val="0"/>
        <w:autoSpaceDE/>
        <w:autoSpaceDN/>
        <w:bidi w:val="0"/>
        <w:adjustRightInd/>
        <w:snapToGrid/>
        <w:spacing w:before="156" w:beforeLines="50" w:after="156" w:afterLines="50" w:line="560" w:lineRule="exact"/>
        <w:ind w:left="0" w:leftChars="0" w:right="0" w:rightChars="0" w:firstLine="0" w:firstLineChars="0"/>
        <w:jc w:val="center"/>
        <w:textAlignment w:val="auto"/>
        <w:outlineLvl w:val="9"/>
        <w:rPr>
          <w:rFonts w:hint="eastAsia" w:ascii="仿宋" w:hAnsi="仿宋" w:eastAsia="仿宋_GB2312" w:cs="仿宋"/>
          <w:color w:val="000000"/>
          <w:sz w:val="32"/>
          <w:szCs w:val="32"/>
        </w:rPr>
      </w:pPr>
      <w:r>
        <w:rPr>
          <w:rFonts w:hint="eastAsia" w:ascii="黑体" w:hAnsi="黑体" w:eastAsia="黑体" w:cs="黑体"/>
          <w:color w:val="000000"/>
          <w:sz w:val="32"/>
          <w:szCs w:val="32"/>
        </w:rPr>
        <w:t>第二章  规划建设</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eastAsia" w:ascii="仿宋_GB2312" w:hAnsi="仿宋_GB2312" w:eastAsia="仿宋_GB2312" w:cs="仿宋_GB2312"/>
          <w:color w:val="000000"/>
          <w:sz w:val="32"/>
          <w:szCs w:val="32"/>
          <w:lang w:val="en-US" w:eastAsia="zh-CN"/>
        </w:rPr>
      </w:pPr>
      <w:r>
        <w:rPr>
          <w:rFonts w:hint="eastAsia" w:ascii="黑体" w:hAnsi="黑体" w:eastAsia="黑体" w:cs="黑体"/>
          <w:color w:val="auto"/>
          <w:sz w:val="32"/>
          <w:szCs w:val="32"/>
        </w:rPr>
        <w:t>第</w:t>
      </w:r>
      <w:r>
        <w:rPr>
          <w:rFonts w:hint="eastAsia" w:ascii="黑体" w:hAnsi="黑体" w:eastAsia="黑体" w:cs="黑体"/>
          <w:color w:val="auto"/>
          <w:sz w:val="32"/>
          <w:szCs w:val="32"/>
          <w:lang w:eastAsia="zh-CN"/>
        </w:rPr>
        <w:t>十二</w:t>
      </w:r>
      <w:r>
        <w:rPr>
          <w:rFonts w:hint="eastAsia" w:ascii="黑体" w:hAnsi="黑体" w:eastAsia="黑体" w:cs="黑体"/>
          <w:color w:val="auto"/>
          <w:sz w:val="32"/>
          <w:szCs w:val="32"/>
        </w:rPr>
        <w:t>条</w:t>
      </w:r>
      <w:r>
        <w:rPr>
          <w:rFonts w:hint="eastAsia" w:ascii="仿宋" w:hAnsi="仿宋" w:eastAsia="仿宋_GB2312" w:cs="仿宋"/>
          <w:color w:val="000000"/>
          <w:sz w:val="32"/>
          <w:szCs w:val="32"/>
          <w:highlight w:val="none"/>
        </w:rPr>
        <w:t xml:space="preserve">  </w:t>
      </w:r>
      <w:r>
        <w:rPr>
          <w:rFonts w:hint="eastAsia" w:ascii="仿宋_GB2312" w:hAnsi="仿宋_GB2312" w:eastAsia="仿宋_GB2312" w:cs="仿宋_GB2312"/>
          <w:color w:val="000000"/>
          <w:sz w:val="32"/>
          <w:szCs w:val="32"/>
          <w:lang w:val="en-US" w:eastAsia="zh-CN"/>
        </w:rPr>
        <w:t>设区的市、县（市）人民政府民政部门应当会同发展和改革、自然资源等部门，按照国土空间规划、人口结构、老龄化发展趋势，编制养老服务设施专项规划，经本级人民政府批准后实施。</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eastAsia" w:ascii="仿宋_GB2312" w:hAnsi="仿宋_GB2312" w:eastAsia="仿宋_GB2312" w:cs="仿宋_GB2312"/>
          <w:color w:val="000000"/>
          <w:sz w:val="32"/>
          <w:szCs w:val="32"/>
          <w:lang w:val="en-US" w:eastAsia="zh-CN"/>
        </w:rPr>
      </w:pPr>
      <w:r>
        <w:rPr>
          <w:rFonts w:hint="eastAsia" w:ascii="黑体" w:hAnsi="黑体" w:eastAsia="黑体" w:cs="黑体"/>
          <w:color w:val="auto"/>
          <w:sz w:val="32"/>
          <w:szCs w:val="32"/>
        </w:rPr>
        <w:t>第</w:t>
      </w:r>
      <w:r>
        <w:rPr>
          <w:rFonts w:hint="eastAsia" w:ascii="黑体" w:hAnsi="黑体" w:eastAsia="黑体" w:cs="黑体"/>
          <w:color w:val="auto"/>
          <w:sz w:val="32"/>
          <w:szCs w:val="32"/>
          <w:lang w:eastAsia="zh-CN"/>
        </w:rPr>
        <w:t>十三</w:t>
      </w:r>
      <w:r>
        <w:rPr>
          <w:rFonts w:hint="eastAsia" w:ascii="黑体" w:hAnsi="黑体" w:eastAsia="黑体" w:cs="黑体"/>
          <w:color w:val="auto"/>
          <w:sz w:val="32"/>
          <w:szCs w:val="32"/>
        </w:rPr>
        <w:t>条</w:t>
      </w:r>
      <w:r>
        <w:rPr>
          <w:rFonts w:hint="eastAsia" w:ascii="黑体" w:hAnsi="黑体" w:eastAsia="黑体" w:cs="黑体"/>
          <w:sz w:val="32"/>
          <w:szCs w:val="32"/>
          <w:highlight w:val="none"/>
          <w:lang w:val="en-US" w:eastAsia="zh-CN"/>
        </w:rPr>
        <w:t xml:space="preserve">  </w:t>
      </w:r>
      <w:r>
        <w:rPr>
          <w:rFonts w:hint="eastAsia" w:ascii="仿宋_GB2312" w:hAnsi="仿宋_GB2312" w:eastAsia="仿宋_GB2312" w:cs="仿宋_GB2312"/>
          <w:color w:val="000000"/>
          <w:sz w:val="32"/>
          <w:szCs w:val="32"/>
        </w:rPr>
        <w:t>县级以上地方人民政府应当根据老年人口比例以及分布情况，按照规定的人均用地标准，在土地利用年度计划中优</w:t>
      </w:r>
      <w:r>
        <w:rPr>
          <w:rFonts w:hint="eastAsia" w:ascii="仿宋_GB2312" w:hAnsi="仿宋_GB2312" w:eastAsia="仿宋_GB2312" w:cs="仿宋_GB2312"/>
          <w:color w:val="000000"/>
          <w:sz w:val="32"/>
          <w:szCs w:val="32"/>
          <w:lang w:val="en-US" w:eastAsia="zh-CN"/>
        </w:rPr>
        <w:t>先安排养老服务设施建设用地。</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eastAsia" w:ascii="仿宋" w:hAnsi="仿宋" w:eastAsia="仿宋_GB2312" w:cs="仿宋"/>
          <w:color w:val="000000"/>
          <w:sz w:val="32"/>
          <w:szCs w:val="32"/>
        </w:rPr>
      </w:pPr>
      <w:r>
        <w:rPr>
          <w:rFonts w:hint="eastAsia" w:ascii="仿宋_GB2312" w:hAnsi="仿宋_GB2312" w:eastAsia="仿宋_GB2312" w:cs="仿宋_GB2312"/>
          <w:color w:val="000000"/>
          <w:sz w:val="32"/>
          <w:szCs w:val="32"/>
          <w:lang w:val="en-US" w:eastAsia="zh-CN"/>
        </w:rPr>
        <w:t>经民政部门认定的非营利性养老服务设施建设用地，经依法</w:t>
      </w:r>
      <w:r>
        <w:rPr>
          <w:rFonts w:hint="eastAsia" w:ascii="仿宋" w:hAnsi="仿宋" w:eastAsia="仿宋_GB2312" w:cs="仿宋"/>
          <w:color w:val="000000"/>
          <w:sz w:val="32"/>
          <w:szCs w:val="32"/>
        </w:rPr>
        <w:t>批准可以采取划拨方式供应。</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eastAsia" w:ascii="仿宋" w:hAnsi="仿宋" w:eastAsia="仿宋_GB2312" w:cs="仿宋"/>
          <w:color w:val="000000"/>
          <w:sz w:val="32"/>
          <w:szCs w:val="32"/>
        </w:rPr>
      </w:pPr>
      <w:r>
        <w:rPr>
          <w:rFonts w:hint="eastAsia" w:ascii="仿宋" w:hAnsi="仿宋" w:eastAsia="仿宋_GB2312" w:cs="仿宋"/>
          <w:color w:val="000000"/>
          <w:sz w:val="32"/>
          <w:szCs w:val="32"/>
        </w:rPr>
        <w:t>单独成宗供应的营利性养老服务设施建设用地，以租赁、先租后让、出让方式供应，鼓励优先以租赁、先租后让方式供应。</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eastAsia" w:ascii="仿宋_GB2312" w:hAnsi="仿宋_GB2312" w:eastAsia="仿宋_GB2312" w:cs="仿宋_GB2312"/>
          <w:color w:val="000000"/>
          <w:sz w:val="32"/>
          <w:szCs w:val="32"/>
          <w:lang w:val="en-US" w:eastAsia="zh-CN"/>
        </w:rPr>
      </w:pPr>
      <w:r>
        <w:rPr>
          <w:rFonts w:hint="eastAsia" w:ascii="黑体" w:hAnsi="黑体" w:eastAsia="黑体" w:cs="黑体"/>
          <w:color w:val="auto"/>
          <w:sz w:val="32"/>
          <w:szCs w:val="32"/>
        </w:rPr>
        <w:t>第</w:t>
      </w:r>
      <w:r>
        <w:rPr>
          <w:rFonts w:hint="eastAsia" w:ascii="黑体" w:hAnsi="黑体" w:eastAsia="黑体" w:cs="黑体"/>
          <w:color w:val="auto"/>
          <w:sz w:val="32"/>
          <w:szCs w:val="32"/>
          <w:lang w:eastAsia="zh-CN"/>
        </w:rPr>
        <w:t>十四</w:t>
      </w:r>
      <w:r>
        <w:rPr>
          <w:rFonts w:hint="eastAsia" w:ascii="黑体" w:hAnsi="黑体" w:eastAsia="黑体" w:cs="黑体"/>
          <w:color w:val="auto"/>
          <w:sz w:val="32"/>
          <w:szCs w:val="32"/>
        </w:rPr>
        <w:t>条</w:t>
      </w:r>
      <w:r>
        <w:rPr>
          <w:rFonts w:hint="eastAsia" w:ascii="仿宋" w:hAnsi="仿宋" w:eastAsia="仿宋_GB2312" w:cs="仿宋"/>
          <w:color w:val="000000"/>
          <w:sz w:val="32"/>
          <w:szCs w:val="32"/>
        </w:rPr>
        <w:t xml:space="preserve">  </w:t>
      </w:r>
      <w:r>
        <w:rPr>
          <w:rFonts w:hint="eastAsia" w:ascii="仿宋_GB2312" w:hAnsi="仿宋_GB2312" w:eastAsia="仿宋_GB2312" w:cs="仿宋_GB2312"/>
          <w:color w:val="000000"/>
          <w:sz w:val="32"/>
          <w:szCs w:val="32"/>
          <w:lang w:val="en-US" w:eastAsia="zh-CN"/>
        </w:rPr>
        <w:t>养老服务设施应当包含为老年人提供居住托养、生活照料、康复护理、文体娱乐等服务的房屋、场地、设备等。</w:t>
      </w:r>
    </w:p>
    <w:p>
      <w:pPr>
        <w:pStyle w:val="2"/>
        <w:keepNext w:val="0"/>
        <w:keepLines w:val="0"/>
        <w:pageBreakBefore w:val="0"/>
        <w:widowControl w:val="0"/>
        <w:kinsoku/>
        <w:wordWrap/>
        <w:overflowPunct/>
        <w:topLinePunct w:val="0"/>
        <w:bidi w:val="0"/>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新建城区和新建住宅区应当按照每百户不少于三十平方米，且单处用房建筑面积不少于四百平方米的标准配套建设养老服务设施，并与住宅同步规划、同步建设、同步验收、同步交付使用，民政部门按照相关规定参与评审验收；老城区和已建成住宅区无养老服务设施或者现有设施未达到标准的，县级以上地方人民政府应当按照每百户不少于二十平方米的标准设置。社区养老服务设施应当就近便利设置，逐步实现服务半径小于七百米。</w:t>
      </w:r>
    </w:p>
    <w:p>
      <w:pPr>
        <w:pStyle w:val="2"/>
        <w:keepNext w:val="0"/>
        <w:keepLines w:val="0"/>
        <w:pageBreakBefore w:val="0"/>
        <w:widowControl w:val="0"/>
        <w:kinsoku/>
        <w:wordWrap/>
        <w:overflowPunct/>
        <w:topLinePunct w:val="0"/>
        <w:bidi w:val="0"/>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支持物业服务人依法利用住宅小区架空层等共用部位、共用设施设备，完善已建成小区养老服务设施。</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新建城市综合体等大型商业建设项目应当配套建设养老服务设施。</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eastAsia"/>
          <w:lang w:val="en-US" w:eastAsia="zh-CN"/>
        </w:rPr>
      </w:pPr>
      <w:r>
        <w:rPr>
          <w:rFonts w:hint="eastAsia" w:ascii="仿宋_GB2312" w:hAnsi="仿宋_GB2312" w:eastAsia="仿宋_GB2312" w:cs="仿宋_GB2312"/>
          <w:color w:val="000000"/>
          <w:sz w:val="32"/>
          <w:szCs w:val="32"/>
        </w:rPr>
        <w:t>配套建设养老服务设施的面积标准应当随着本地经济社会发展水平和养老服务需求情况逐步提高。</w:t>
      </w:r>
      <w:r>
        <w:rPr>
          <w:rFonts w:hint="eastAsia" w:ascii="仿宋_GB2312" w:hAnsi="仿宋_GB2312" w:eastAsia="仿宋_GB2312" w:cs="仿宋_GB2312"/>
          <w:color w:val="000000"/>
          <w:sz w:val="32"/>
          <w:szCs w:val="32"/>
          <w:lang w:val="en-US" w:eastAsia="zh-CN"/>
        </w:rPr>
        <w:t>配套建设或者通过购置、置换、租赁等方式配备养老服务设施，由养老服务设施所在地的乡（镇）人民政府、街道办事处负责管理、维护的，所需经费列入财政预算。</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eastAsia" w:ascii="仿宋_GB2312" w:hAnsi="仿宋_GB2312" w:eastAsia="仿宋_GB2312" w:cs="仿宋_GB2312"/>
          <w:color w:val="000000"/>
          <w:sz w:val="32"/>
          <w:szCs w:val="32"/>
          <w:lang w:val="en-US" w:eastAsia="zh-CN"/>
        </w:rPr>
      </w:pPr>
      <w:r>
        <w:rPr>
          <w:rFonts w:hint="eastAsia" w:ascii="黑体" w:hAnsi="黑体" w:eastAsia="黑体" w:cs="黑体"/>
          <w:color w:val="auto"/>
          <w:sz w:val="32"/>
          <w:szCs w:val="32"/>
        </w:rPr>
        <w:t>第</w:t>
      </w:r>
      <w:r>
        <w:rPr>
          <w:rFonts w:hint="eastAsia" w:ascii="黑体" w:hAnsi="黑体" w:eastAsia="黑体" w:cs="黑体"/>
          <w:color w:val="auto"/>
          <w:sz w:val="32"/>
          <w:szCs w:val="32"/>
          <w:lang w:eastAsia="zh-CN"/>
        </w:rPr>
        <w:t>十五</w:t>
      </w:r>
      <w:r>
        <w:rPr>
          <w:rFonts w:hint="eastAsia" w:ascii="黑体" w:hAnsi="黑体" w:eastAsia="黑体" w:cs="黑体"/>
          <w:color w:val="auto"/>
          <w:sz w:val="32"/>
          <w:szCs w:val="32"/>
        </w:rPr>
        <w:t>条</w:t>
      </w:r>
      <w:r>
        <w:rPr>
          <w:rFonts w:hint="eastAsia" w:ascii="仿宋" w:hAnsi="仿宋" w:eastAsia="仿宋_GB2312" w:cs="仿宋"/>
          <w:color w:val="000000"/>
          <w:sz w:val="32"/>
          <w:szCs w:val="32"/>
        </w:rPr>
        <w:t xml:space="preserve">  </w:t>
      </w:r>
      <w:r>
        <w:rPr>
          <w:rFonts w:hint="eastAsia" w:ascii="仿宋_GB2312" w:hAnsi="仿宋_GB2312" w:eastAsia="仿宋_GB2312" w:cs="仿宋_GB2312"/>
          <w:color w:val="000000"/>
          <w:sz w:val="32"/>
          <w:szCs w:val="32"/>
          <w:lang w:val="en-US" w:eastAsia="zh-CN"/>
        </w:rPr>
        <w:t>地方各级人民政府应当将</w:t>
      </w:r>
      <w:r>
        <w:rPr>
          <w:rFonts w:hint="eastAsia" w:ascii="仿宋_GB2312" w:hAnsi="仿宋_GB2312" w:eastAsia="仿宋_GB2312" w:cs="仿宋_GB2312"/>
          <w:color w:val="000000"/>
          <w:spacing w:val="-11"/>
          <w:sz w:val="32"/>
          <w:szCs w:val="32"/>
          <w:lang w:val="en-US" w:eastAsia="zh-CN"/>
        </w:rPr>
        <w:t>农村养老服务纳入乡村振兴规划，统筹加强农村养老服务设施建设。</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支持利用农民房屋和闲置的农村集体所有的土地、房屋等资源，因地制宜建设农村幸福院、敬老院等养老服务设施，开展多种形式的普惠型和互助性养老服务。</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fldChar w:fldCharType="begin"/>
      </w:r>
      <w:r>
        <w:rPr>
          <w:rFonts w:hint="eastAsia" w:ascii="仿宋_GB2312" w:hAnsi="仿宋_GB2312" w:eastAsia="仿宋_GB2312" w:cs="仿宋_GB2312"/>
          <w:color w:val="000000"/>
          <w:sz w:val="32"/>
          <w:szCs w:val="32"/>
          <w:lang w:val="en-US" w:eastAsia="zh-CN"/>
        </w:rPr>
        <w:instrText xml:space="preserve"> HYPERLINK "https://www.pkulaw.com/lar/41fd77e68e811f18adf4ce0885b0faadbdfb.html?keyword=%E5%B8%82%E3%80%81%E5%8E%BF%EF%BC%88%E5%8C%BA%EF%BC%89%E4%BA%BA%E6%B0%91%E6%94%BF%E5%BA%9C%E5%BA%94%E5%BD%93%E6%94%AF%E6%8C%81%E6%9C%89%E6%9D%A1%E4%BB%B6%E7%9A%84%E6%9D%91%E5%B0%86%E7%BB%8F%E8%90%A5%E6%94%B6%E5%85%A5%E3%80%81%E5%9C%9F%E5%9C%B0%E6%B5%81%E8%BD%AC%E7%AD%89%E9%9B%86%E4%BD%93%E7%BB%8F%E6%B5%8E%E6%94%B6%E7%9B%8A%EF%BC%8C%E6%8A%95%E5%85%A5%E5%85%BB%E8%80%81%E8%AE%BE%E6%96%BD%E5%BB%BA%E8%AE%BE%EF%BC%8C%E4%B8%BA%E6%9C%AC%E6%9D%91%E8%80%81%E5%B9%B4%E4%BA%BA%E6%8F%90%E4%BE%9B%E5%85%BB%E8%80%81%E6%9C%8D%E5%8A%A1%E3%80%82&amp;tiao=107" \t "https://www.pkulaw.com/_blank" </w:instrText>
      </w:r>
      <w:r>
        <w:rPr>
          <w:rFonts w:hint="eastAsia" w:ascii="仿宋_GB2312" w:hAnsi="仿宋_GB2312" w:eastAsia="仿宋_GB2312" w:cs="仿宋_GB2312"/>
          <w:color w:val="000000"/>
          <w:sz w:val="32"/>
          <w:szCs w:val="32"/>
          <w:lang w:val="en-US" w:eastAsia="zh-CN"/>
        </w:rPr>
        <w:fldChar w:fldCharType="separate"/>
      </w:r>
      <w:r>
        <w:rPr>
          <w:rFonts w:hint="eastAsia" w:ascii="仿宋_GB2312" w:hAnsi="仿宋_GB2312" w:eastAsia="仿宋_GB2312" w:cs="仿宋_GB2312"/>
          <w:color w:val="000000"/>
          <w:sz w:val="32"/>
          <w:szCs w:val="32"/>
          <w:lang w:val="en-US" w:eastAsia="zh-CN"/>
        </w:rPr>
        <w:t>县级以上地方人民政府应当支持有条件的村将经营收入、土地流转等集体经济收益，用于养老服务事业。</w:t>
      </w:r>
      <w:r>
        <w:rPr>
          <w:rFonts w:hint="eastAsia" w:ascii="仿宋_GB2312" w:hAnsi="仿宋_GB2312" w:eastAsia="仿宋_GB2312" w:cs="仿宋_GB2312"/>
          <w:color w:val="000000"/>
          <w:sz w:val="32"/>
          <w:szCs w:val="32"/>
          <w:lang w:val="en-US" w:eastAsia="zh-CN"/>
        </w:rPr>
        <w:fldChar w:fldCharType="end"/>
      </w:r>
    </w:p>
    <w:p>
      <w:pPr>
        <w:pStyle w:val="2"/>
        <w:keepNext w:val="0"/>
        <w:keepLines w:val="0"/>
        <w:pageBreakBefore w:val="0"/>
        <w:widowControl w:val="0"/>
        <w:kinsoku/>
        <w:wordWrap/>
        <w:overflowPunct/>
        <w:topLinePunct w:val="0"/>
        <w:bidi w:val="0"/>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color w:val="000000"/>
          <w:kern w:val="2"/>
          <w:sz w:val="32"/>
          <w:szCs w:val="32"/>
          <w:lang w:val="en-US" w:eastAsia="zh-CN" w:bidi="ar-SA"/>
        </w:rPr>
      </w:pPr>
      <w:r>
        <w:rPr>
          <w:rFonts w:hint="eastAsia" w:ascii="黑体" w:hAnsi="黑体" w:eastAsia="黑体" w:cs="黑体"/>
          <w:color w:val="auto"/>
          <w:sz w:val="32"/>
          <w:szCs w:val="32"/>
        </w:rPr>
        <w:t>第</w:t>
      </w:r>
      <w:r>
        <w:rPr>
          <w:rFonts w:hint="eastAsia" w:ascii="黑体" w:hAnsi="黑体" w:eastAsia="黑体" w:cs="黑体"/>
          <w:color w:val="auto"/>
          <w:sz w:val="32"/>
          <w:szCs w:val="32"/>
          <w:lang w:eastAsia="zh-CN"/>
        </w:rPr>
        <w:t>十六</w:t>
      </w:r>
      <w:r>
        <w:rPr>
          <w:rFonts w:hint="eastAsia" w:ascii="黑体" w:hAnsi="黑体" w:eastAsia="黑体" w:cs="黑体"/>
          <w:color w:val="auto"/>
          <w:sz w:val="32"/>
          <w:szCs w:val="32"/>
        </w:rPr>
        <w:t>条</w:t>
      </w:r>
      <w:r>
        <w:rPr>
          <w:rFonts w:hint="eastAsia" w:ascii="仿宋" w:hAnsi="仿宋" w:eastAsia="仿宋_GB2312" w:cs="仿宋"/>
          <w:color w:val="000000"/>
          <w:sz w:val="32"/>
          <w:szCs w:val="32"/>
          <w:lang w:val="en-US" w:eastAsia="zh-CN"/>
        </w:rPr>
        <w:t xml:space="preserve">  </w:t>
      </w:r>
      <w:r>
        <w:rPr>
          <w:rFonts w:hint="eastAsia" w:ascii="仿宋_GB2312" w:hAnsi="仿宋_GB2312" w:eastAsia="仿宋_GB2312" w:cs="仿宋_GB2312"/>
          <w:color w:val="000000"/>
          <w:kern w:val="2"/>
          <w:sz w:val="32"/>
          <w:szCs w:val="32"/>
          <w:lang w:val="en-US" w:eastAsia="zh-CN" w:bidi="ar-SA"/>
        </w:rPr>
        <w:t>支持利用存量企业厂房、办公用房、商业设施和其他社会资源，根据养老服务需求，按照规划、安全要求和有关法律法规规定，建设或者改造符合标准的养老服务设施。</w:t>
      </w:r>
    </w:p>
    <w:p>
      <w:pPr>
        <w:pStyle w:val="2"/>
        <w:keepNext w:val="0"/>
        <w:keepLines w:val="0"/>
        <w:pageBreakBefore w:val="0"/>
        <w:widowControl w:val="0"/>
        <w:kinsoku/>
        <w:wordWrap/>
        <w:overflowPunct/>
        <w:topLinePunct w:val="0"/>
        <w:bidi w:val="0"/>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color w:val="000000"/>
          <w:kern w:val="2"/>
          <w:sz w:val="32"/>
          <w:szCs w:val="32"/>
          <w:lang w:val="en-US" w:eastAsia="zh-CN" w:bidi="ar-SA"/>
        </w:rPr>
      </w:pPr>
      <w:r>
        <w:rPr>
          <w:rFonts w:hint="eastAsia" w:ascii="仿宋_GB2312" w:hAnsi="仿宋_GB2312" w:eastAsia="仿宋_GB2312" w:cs="仿宋_GB2312"/>
          <w:color w:val="000000"/>
          <w:kern w:val="2"/>
          <w:sz w:val="32"/>
          <w:szCs w:val="32"/>
          <w:lang w:val="en-US" w:eastAsia="zh-CN" w:bidi="ar-SA"/>
        </w:rPr>
        <w:t>县级以上地方人民政府有关部门应当规范办理利用存量资源建设或者改造养老服务设施的工作流程，并提供公共服务政策支持；组织民政、自然资源、住房和城乡建设、消防救援机构和其他有关部门，制定相应的防火安全保障方案。</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eastAsia" w:ascii="仿宋_GB2312" w:hAnsi="仿宋_GB2312" w:eastAsia="仿宋_GB2312" w:cs="仿宋_GB2312"/>
          <w:color w:val="000000"/>
          <w:sz w:val="32"/>
          <w:szCs w:val="32"/>
        </w:rPr>
      </w:pPr>
      <w:r>
        <w:rPr>
          <w:rFonts w:hint="eastAsia" w:ascii="黑体" w:hAnsi="黑体" w:eastAsia="黑体" w:cs="黑体"/>
          <w:color w:val="auto"/>
          <w:sz w:val="32"/>
          <w:szCs w:val="32"/>
        </w:rPr>
        <w:t>第</w:t>
      </w:r>
      <w:r>
        <w:rPr>
          <w:rFonts w:hint="eastAsia" w:ascii="黑体" w:hAnsi="黑体" w:eastAsia="黑体" w:cs="黑体"/>
          <w:color w:val="auto"/>
          <w:sz w:val="32"/>
          <w:szCs w:val="32"/>
          <w:lang w:eastAsia="zh-CN"/>
        </w:rPr>
        <w:t>十七</w:t>
      </w:r>
      <w:r>
        <w:rPr>
          <w:rFonts w:hint="eastAsia" w:ascii="黑体" w:hAnsi="黑体" w:eastAsia="黑体" w:cs="黑体"/>
          <w:color w:val="auto"/>
          <w:sz w:val="32"/>
          <w:szCs w:val="32"/>
        </w:rPr>
        <w:t>条</w:t>
      </w:r>
      <w:r>
        <w:rPr>
          <w:rFonts w:hint="eastAsia" w:ascii="仿宋" w:hAnsi="仿宋" w:eastAsia="仿宋_GB2312" w:cs="仿宋"/>
          <w:color w:val="000000"/>
          <w:sz w:val="32"/>
          <w:szCs w:val="32"/>
        </w:rPr>
        <w:t xml:space="preserve">  </w:t>
      </w:r>
      <w:r>
        <w:rPr>
          <w:rFonts w:hint="eastAsia" w:ascii="仿宋_GB2312" w:hAnsi="仿宋_GB2312" w:eastAsia="仿宋_GB2312" w:cs="仿宋_GB2312"/>
          <w:color w:val="000000"/>
          <w:sz w:val="32"/>
          <w:szCs w:val="32"/>
        </w:rPr>
        <w:t>养老服务设施应当按</w:t>
      </w:r>
      <w:r>
        <w:rPr>
          <w:rFonts w:hint="eastAsia" w:ascii="仿宋_GB2312" w:hAnsi="仿宋_GB2312" w:eastAsia="仿宋_GB2312" w:cs="仿宋_GB2312"/>
          <w:color w:val="000000"/>
          <w:spacing w:val="-6"/>
          <w:sz w:val="32"/>
          <w:szCs w:val="32"/>
        </w:rPr>
        <w:t>照国家和本省规定的建设标准进行建设，并不断提升质量和标准。</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eastAsia" w:ascii="仿宋_GB2312" w:hAnsi="仿宋_GB2312" w:eastAsia="仿宋_GB2312" w:cs="仿宋_GB2312"/>
          <w:color w:val="000000"/>
          <w:spacing w:val="-6"/>
          <w:sz w:val="32"/>
          <w:szCs w:val="32"/>
        </w:rPr>
      </w:pPr>
      <w:r>
        <w:rPr>
          <w:rFonts w:hint="eastAsia" w:ascii="仿宋_GB2312" w:hAnsi="仿宋_GB2312" w:eastAsia="仿宋_GB2312" w:cs="仿宋_GB2312"/>
          <w:color w:val="000000"/>
          <w:sz w:val="32"/>
          <w:szCs w:val="32"/>
        </w:rPr>
        <w:t>养老服务设施应当选择市政设施条件较好、位置适中、方便</w:t>
      </w:r>
      <w:r>
        <w:rPr>
          <w:rFonts w:hint="eastAsia" w:ascii="仿宋_GB2312" w:hAnsi="仿宋_GB2312" w:eastAsia="仿宋_GB2312" w:cs="仿宋_GB2312"/>
          <w:color w:val="000000"/>
          <w:spacing w:val="-6"/>
          <w:sz w:val="32"/>
          <w:szCs w:val="32"/>
        </w:rPr>
        <w:t>老年人出入的地段，优先设置于建筑物首层，并设置独立的出入口。</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eastAsia" w:ascii="黑体" w:hAnsi="黑体" w:eastAsia="黑体" w:cs="黑体"/>
          <w:color w:val="auto"/>
          <w:sz w:val="32"/>
          <w:szCs w:val="32"/>
        </w:rPr>
      </w:pPr>
      <w:r>
        <w:rPr>
          <w:rFonts w:hint="eastAsia" w:ascii="黑体" w:hAnsi="黑体" w:eastAsia="黑体" w:cs="黑体"/>
          <w:color w:val="auto"/>
          <w:sz w:val="32"/>
          <w:szCs w:val="32"/>
        </w:rPr>
        <w:t>第</w:t>
      </w:r>
      <w:r>
        <w:rPr>
          <w:rFonts w:hint="eastAsia" w:ascii="黑体" w:hAnsi="黑体" w:eastAsia="黑体" w:cs="黑体"/>
          <w:color w:val="auto"/>
          <w:sz w:val="32"/>
          <w:szCs w:val="32"/>
          <w:lang w:eastAsia="zh-CN"/>
        </w:rPr>
        <w:t>十八</w:t>
      </w:r>
      <w:r>
        <w:rPr>
          <w:rFonts w:hint="eastAsia" w:ascii="黑体" w:hAnsi="黑体" w:eastAsia="黑体" w:cs="黑体"/>
          <w:color w:val="auto"/>
          <w:sz w:val="32"/>
          <w:szCs w:val="32"/>
        </w:rPr>
        <w:t>条</w:t>
      </w:r>
      <w:r>
        <w:rPr>
          <w:rFonts w:hint="eastAsia" w:ascii="仿宋" w:hAnsi="仿宋" w:eastAsia="仿宋_GB2312" w:cs="仿宋"/>
          <w:color w:val="auto"/>
          <w:sz w:val="32"/>
          <w:szCs w:val="32"/>
          <w:highlight w:val="none"/>
        </w:rPr>
        <w:t xml:space="preserve">  </w:t>
      </w:r>
      <w:r>
        <w:rPr>
          <w:rFonts w:hint="eastAsia" w:ascii="仿宋_GB2312" w:hAnsi="仿宋_GB2312" w:eastAsia="仿宋_GB2312" w:cs="仿宋_GB2312"/>
          <w:color w:val="000000"/>
          <w:sz w:val="32"/>
          <w:szCs w:val="32"/>
          <w:lang w:val="en-US" w:eastAsia="zh-CN"/>
        </w:rPr>
        <w:t>任何组织和个人不得擅自改变养老服务设施建设用地用途、使用性质或者拆除养老服务设施。因公共利益需要，经法定程序批准的，应当按照不低于原有规模和标准就近建设或者置换</w:t>
      </w:r>
      <w:r>
        <w:rPr>
          <w:rFonts w:hint="eastAsia" w:ascii="黑体" w:hAnsi="黑体" w:eastAsia="黑体" w:cs="黑体"/>
          <w:color w:val="auto"/>
          <w:sz w:val="32"/>
          <w:szCs w:val="32"/>
          <w:highlight w:val="none"/>
          <w:lang w:val="en-US" w:eastAsia="zh-CN"/>
        </w:rPr>
        <w:t>。</w:t>
      </w:r>
      <w:r>
        <w:rPr>
          <w:rFonts w:hint="eastAsia" w:ascii="仿宋_GB2312" w:hAnsi="仿宋_GB2312" w:eastAsia="仿宋_GB2312" w:cs="仿宋_GB2312"/>
          <w:color w:val="000000"/>
          <w:sz w:val="32"/>
          <w:szCs w:val="32"/>
          <w:lang w:val="en-US" w:eastAsia="zh-CN"/>
        </w:rPr>
        <w:t>建设期间，应当安排过渡用房，满足养老服务需求。</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eastAsia" w:ascii="仿宋_GB2312" w:hAnsi="仿宋_GB2312" w:eastAsia="仿宋_GB2312" w:cs="仿宋_GB2312"/>
          <w:color w:val="000000"/>
          <w:sz w:val="32"/>
          <w:szCs w:val="32"/>
          <w:lang w:val="en-US" w:eastAsia="zh-CN"/>
        </w:rPr>
      </w:pPr>
      <w:r>
        <w:rPr>
          <w:rFonts w:hint="eastAsia" w:ascii="黑体" w:hAnsi="黑体" w:eastAsia="黑体" w:cs="黑体"/>
          <w:color w:val="auto"/>
          <w:sz w:val="32"/>
          <w:szCs w:val="32"/>
        </w:rPr>
        <w:t>第</w:t>
      </w:r>
      <w:r>
        <w:rPr>
          <w:rFonts w:hint="eastAsia" w:ascii="黑体" w:hAnsi="黑体" w:eastAsia="黑体" w:cs="黑体"/>
          <w:color w:val="auto"/>
          <w:sz w:val="32"/>
          <w:szCs w:val="32"/>
          <w:lang w:eastAsia="zh-CN"/>
        </w:rPr>
        <w:t>十九</w:t>
      </w:r>
      <w:r>
        <w:rPr>
          <w:rFonts w:hint="eastAsia" w:ascii="黑体" w:hAnsi="黑体" w:eastAsia="黑体" w:cs="黑体"/>
          <w:color w:val="auto"/>
          <w:sz w:val="32"/>
          <w:szCs w:val="32"/>
        </w:rPr>
        <w:t>条</w:t>
      </w:r>
      <w:r>
        <w:rPr>
          <w:rFonts w:hint="eastAsia" w:ascii="仿宋" w:hAnsi="仿宋" w:eastAsia="仿宋_GB2312" w:cs="仿宋"/>
          <w:color w:val="000000"/>
          <w:sz w:val="32"/>
          <w:szCs w:val="32"/>
          <w:lang w:val="en-US" w:eastAsia="zh-CN"/>
        </w:rPr>
        <w:t xml:space="preserve"> </w:t>
      </w:r>
      <w:r>
        <w:rPr>
          <w:rFonts w:hint="eastAsia" w:ascii="仿宋" w:hAnsi="仿宋" w:eastAsia="仿宋_GB2312" w:cs="仿宋"/>
          <w:color w:val="000000"/>
          <w:sz w:val="32"/>
          <w:szCs w:val="32"/>
          <w:u w:val="none"/>
          <w:lang w:val="en-US" w:eastAsia="zh-CN"/>
        </w:rPr>
        <w:t xml:space="preserve"> </w:t>
      </w:r>
      <w:r>
        <w:rPr>
          <w:rFonts w:hint="eastAsia" w:ascii="仿宋_GB2312" w:hAnsi="仿宋_GB2312" w:eastAsia="仿宋_GB2312" w:cs="仿宋_GB2312"/>
          <w:color w:val="000000"/>
          <w:sz w:val="32"/>
          <w:szCs w:val="32"/>
          <w:lang w:val="en-US" w:eastAsia="zh-CN"/>
        </w:rPr>
        <w:t>县级以上地方人民政府及其有关部门应当推动与老年人日常生活密切相关的公共设施的无</w:t>
      </w:r>
      <w:r>
        <w:rPr>
          <w:rFonts w:hint="eastAsia" w:ascii="仿宋_GB2312" w:hAnsi="仿宋_GB2312" w:eastAsia="仿宋_GB2312" w:cs="仿宋_GB2312"/>
          <w:color w:val="000000"/>
          <w:spacing w:val="-6"/>
          <w:sz w:val="32"/>
          <w:szCs w:val="32"/>
          <w:lang w:val="en-US" w:eastAsia="zh-CN"/>
        </w:rPr>
        <w:t>障碍环境建设和改造，提升老年人生活的安全性、便利性和舒适性。</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推进老旧小区的坡道、楼梯扶手、电梯等生活服务设施的改造，优先支持多层住宅及养老服务设施加装电梯，在公共活动空间增设适合老年人活动、休息的设施。</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县级以上地方人民政府应当制定老年人居家适老化改造工程相关标准，引导老年人家庭进行日常生活设施适老化改造，住房和城乡建设、民政、自然资源等部门应当给予指导。对符合条</w:t>
      </w:r>
      <w:r>
        <w:rPr>
          <w:rFonts w:hint="eastAsia" w:ascii="仿宋_GB2312" w:hAnsi="仿宋_GB2312" w:eastAsia="仿宋_GB2312" w:cs="仿宋_GB2312"/>
          <w:color w:val="000000"/>
          <w:spacing w:val="-6"/>
          <w:sz w:val="32"/>
          <w:szCs w:val="32"/>
          <w:lang w:val="en-US" w:eastAsia="zh-CN"/>
        </w:rPr>
        <w:t>件的老年人家庭，应当采取政府补贴等方式实施居家适老化改造。</w:t>
      </w:r>
    </w:p>
    <w:p>
      <w:pPr>
        <w:pStyle w:val="2"/>
        <w:keepNext w:val="0"/>
        <w:keepLines w:val="0"/>
        <w:pageBreakBefore w:val="0"/>
        <w:widowControl w:val="0"/>
        <w:kinsoku/>
        <w:wordWrap/>
        <w:overflowPunct/>
        <w:topLinePunct w:val="0"/>
        <w:bidi w:val="0"/>
        <w:snapToGrid/>
        <w:spacing w:line="560" w:lineRule="exact"/>
        <w:ind w:left="0" w:leftChars="0" w:right="0" w:rightChars="0" w:firstLine="640" w:firstLineChars="200"/>
        <w:textAlignment w:val="auto"/>
        <w:outlineLvl w:val="9"/>
        <w:rPr>
          <w:rFonts w:hint="eastAsia" w:ascii="仿宋_GB2312" w:hAnsi="仿宋_GB2312" w:eastAsia="仿宋_GB2312" w:cs="仿宋_GB2312"/>
          <w:color w:val="000000"/>
          <w:kern w:val="2"/>
          <w:sz w:val="32"/>
          <w:szCs w:val="32"/>
          <w:lang w:val="en-US" w:eastAsia="zh-CN" w:bidi="ar-SA"/>
        </w:rPr>
      </w:pPr>
      <w:r>
        <w:rPr>
          <w:rFonts w:hint="eastAsia" w:ascii="黑体" w:hAnsi="黑体" w:eastAsia="黑体" w:cs="黑体"/>
          <w:color w:val="auto"/>
          <w:sz w:val="32"/>
          <w:szCs w:val="32"/>
        </w:rPr>
        <w:t>第</w:t>
      </w:r>
      <w:r>
        <w:rPr>
          <w:rFonts w:hint="eastAsia" w:ascii="黑体" w:hAnsi="黑体" w:eastAsia="黑体" w:cs="黑体"/>
          <w:color w:val="auto"/>
          <w:sz w:val="32"/>
          <w:szCs w:val="32"/>
          <w:lang w:eastAsia="zh-CN"/>
        </w:rPr>
        <w:t>二十</w:t>
      </w:r>
      <w:r>
        <w:rPr>
          <w:rFonts w:hint="eastAsia" w:ascii="黑体" w:hAnsi="黑体" w:eastAsia="黑体" w:cs="黑体"/>
          <w:color w:val="auto"/>
          <w:sz w:val="32"/>
          <w:szCs w:val="32"/>
        </w:rPr>
        <w:t>条</w:t>
      </w:r>
      <w:r>
        <w:rPr>
          <w:rFonts w:hint="eastAsia" w:ascii="仿宋" w:hAnsi="仿宋" w:eastAsia="仿宋_GB2312" w:cs="仿宋"/>
          <w:color w:val="000000"/>
          <w:sz w:val="32"/>
          <w:szCs w:val="32"/>
          <w:lang w:val="en-US" w:eastAsia="zh-CN"/>
        </w:rPr>
        <w:t xml:space="preserve"> </w:t>
      </w:r>
      <w:r>
        <w:rPr>
          <w:rFonts w:hint="eastAsia" w:ascii="仿宋" w:hAnsi="仿宋" w:eastAsia="仿宋_GB2312" w:cs="仿宋"/>
          <w:color w:val="000000"/>
          <w:sz w:val="32"/>
          <w:szCs w:val="32"/>
          <w:u w:val="none"/>
          <w:lang w:val="en-US" w:eastAsia="zh-CN"/>
        </w:rPr>
        <w:t xml:space="preserve"> </w:t>
      </w:r>
      <w:r>
        <w:rPr>
          <w:rFonts w:hint="eastAsia" w:ascii="仿宋_GB2312" w:hAnsi="仿宋_GB2312" w:eastAsia="仿宋_GB2312" w:cs="仿宋_GB2312"/>
          <w:color w:val="000000"/>
          <w:kern w:val="2"/>
          <w:sz w:val="32"/>
          <w:szCs w:val="32"/>
          <w:lang w:val="en-US" w:eastAsia="zh-CN" w:bidi="ar-SA"/>
        </w:rPr>
        <w:t>各级行政管理部门、提供公共服务的机构和企业，应当尊重并支持老年人使用符合其能力和习惯的服务方式，保留并完善现场服务、现金支付等传统服务，并为老年人接受新技术提供引导和帮助。</w:t>
      </w:r>
    </w:p>
    <w:p>
      <w:pPr>
        <w:keepNext w:val="0"/>
        <w:keepLines w:val="0"/>
        <w:pageBreakBefore w:val="0"/>
        <w:widowControl w:val="0"/>
        <w:kinsoku/>
        <w:wordWrap/>
        <w:overflowPunct/>
        <w:topLinePunct w:val="0"/>
        <w:bidi w:val="0"/>
        <w:snapToGrid/>
        <w:spacing w:line="560" w:lineRule="exact"/>
        <w:ind w:left="0" w:leftChars="0" w:right="0" w:rightChars="0" w:firstLine="640" w:firstLineChars="200"/>
        <w:textAlignment w:val="auto"/>
        <w:outlineLvl w:val="9"/>
        <w:rPr>
          <w:rFonts w:hint="eastAsia" w:ascii="仿宋_GB2312" w:hAnsi="仿宋_GB2312" w:eastAsia="仿宋_GB2312" w:cs="仿宋_GB2312"/>
          <w:color w:val="000000"/>
          <w:kern w:val="2"/>
          <w:sz w:val="32"/>
          <w:szCs w:val="32"/>
          <w:lang w:val="en-US" w:eastAsia="zh-CN" w:bidi="ar-SA"/>
        </w:rPr>
      </w:pPr>
      <w:r>
        <w:rPr>
          <w:rFonts w:hint="eastAsia" w:ascii="仿宋_GB2312" w:hAnsi="仿宋_GB2312" w:eastAsia="仿宋_GB2312" w:cs="仿宋_GB2312"/>
          <w:color w:val="000000"/>
          <w:kern w:val="2"/>
          <w:sz w:val="32"/>
          <w:szCs w:val="32"/>
          <w:lang w:val="en-US" w:eastAsia="zh-CN" w:bidi="ar-SA"/>
        </w:rPr>
        <w:t>支持互联网网站、移动互联网应用开展适老化改造，优化界面交互、内容朗读、操作提示、语音辅助等功能。</w:t>
      </w:r>
    </w:p>
    <w:p>
      <w:pPr>
        <w:pStyle w:val="2"/>
        <w:keepNext w:val="0"/>
        <w:keepLines w:val="0"/>
        <w:pageBreakBefore w:val="0"/>
        <w:widowControl w:val="0"/>
        <w:kinsoku/>
        <w:wordWrap/>
        <w:overflowPunct/>
        <w:topLinePunct w:val="0"/>
        <w:bidi w:val="0"/>
        <w:snapToGrid/>
        <w:spacing w:line="560" w:lineRule="exact"/>
        <w:ind w:left="0" w:leftChars="0" w:right="0" w:rightChars="0" w:firstLine="640"/>
        <w:textAlignment w:val="auto"/>
        <w:outlineLvl w:val="9"/>
        <w:rPr>
          <w:rFonts w:hint="eastAsia" w:ascii="仿宋_GB2312" w:hAnsi="仿宋_GB2312" w:eastAsia="仿宋_GB2312" w:cs="仿宋_GB2312"/>
          <w:color w:val="000000"/>
          <w:kern w:val="2"/>
          <w:sz w:val="32"/>
          <w:szCs w:val="32"/>
          <w:lang w:val="en-US" w:eastAsia="zh-CN" w:bidi="ar-SA"/>
        </w:rPr>
      </w:pPr>
      <w:r>
        <w:rPr>
          <w:rFonts w:hint="eastAsia" w:ascii="仿宋_GB2312" w:hAnsi="仿宋_GB2312" w:eastAsia="仿宋_GB2312" w:cs="仿宋_GB2312"/>
          <w:color w:val="000000"/>
          <w:kern w:val="2"/>
          <w:sz w:val="32"/>
          <w:szCs w:val="32"/>
          <w:lang w:val="en-US" w:eastAsia="zh-CN" w:bidi="ar-SA"/>
        </w:rPr>
        <w:t>支持推广符合老年人阅读习惯的书籍、报刊、杂志等出版物。</w:t>
      </w:r>
    </w:p>
    <w:p>
      <w:pPr>
        <w:keepNext w:val="0"/>
        <w:keepLines w:val="0"/>
        <w:pageBreakBefore w:val="0"/>
        <w:widowControl w:val="0"/>
        <w:kinsoku/>
        <w:wordWrap/>
        <w:overflowPunct/>
        <w:topLinePunct w:val="0"/>
        <w:autoSpaceDE/>
        <w:autoSpaceDN/>
        <w:bidi w:val="0"/>
        <w:adjustRightInd/>
        <w:snapToGrid/>
        <w:spacing w:before="156" w:beforeLines="50" w:after="156" w:afterLines="50" w:line="560" w:lineRule="exact"/>
        <w:ind w:left="0" w:leftChars="0" w:right="0" w:rightChars="0" w:firstLine="0" w:firstLineChars="0"/>
        <w:jc w:val="center"/>
        <w:textAlignment w:val="auto"/>
        <w:outlineLvl w:val="9"/>
        <w:rPr>
          <w:rFonts w:hint="eastAsia" w:ascii="仿宋" w:hAnsi="仿宋" w:eastAsia="仿宋_GB2312" w:cs="仿宋"/>
          <w:color w:val="000000"/>
          <w:sz w:val="32"/>
          <w:szCs w:val="32"/>
        </w:rPr>
      </w:pPr>
      <w:r>
        <w:rPr>
          <w:rFonts w:hint="eastAsia" w:ascii="黑体" w:hAnsi="黑体" w:eastAsia="黑体" w:cs="黑体"/>
          <w:color w:val="000000"/>
          <w:sz w:val="32"/>
          <w:szCs w:val="32"/>
        </w:rPr>
        <w:t>第三章  居家社区养老服务</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eastAsia" w:ascii="仿宋_GB2312" w:hAnsi="仿宋_GB2312" w:eastAsia="仿宋_GB2312" w:cs="仿宋_GB2312"/>
          <w:color w:val="000000"/>
          <w:sz w:val="32"/>
          <w:szCs w:val="32"/>
          <w:lang w:val="en-US" w:eastAsia="zh-CN"/>
        </w:rPr>
      </w:pPr>
      <w:r>
        <w:rPr>
          <w:rFonts w:hint="eastAsia" w:ascii="黑体" w:hAnsi="黑体" w:eastAsia="黑体" w:cs="黑体"/>
          <w:color w:val="auto"/>
          <w:sz w:val="32"/>
          <w:szCs w:val="32"/>
        </w:rPr>
        <w:t>第</w:t>
      </w:r>
      <w:r>
        <w:rPr>
          <w:rFonts w:hint="eastAsia" w:ascii="黑体" w:hAnsi="黑体" w:eastAsia="黑体" w:cs="黑体"/>
          <w:color w:val="auto"/>
          <w:sz w:val="32"/>
          <w:szCs w:val="32"/>
          <w:lang w:eastAsia="zh-CN"/>
        </w:rPr>
        <w:t>二十一</w:t>
      </w:r>
      <w:r>
        <w:rPr>
          <w:rFonts w:hint="eastAsia" w:ascii="黑体" w:hAnsi="黑体" w:eastAsia="黑体" w:cs="黑体"/>
          <w:color w:val="auto"/>
          <w:sz w:val="32"/>
          <w:szCs w:val="32"/>
        </w:rPr>
        <w:t>条</w:t>
      </w:r>
      <w:r>
        <w:rPr>
          <w:rFonts w:hint="eastAsia" w:ascii="仿宋" w:hAnsi="仿宋" w:eastAsia="仿宋_GB2312" w:cs="仿宋"/>
          <w:color w:val="000000"/>
          <w:sz w:val="32"/>
          <w:szCs w:val="32"/>
        </w:rPr>
        <w:t xml:space="preserve">  </w:t>
      </w:r>
      <w:r>
        <w:rPr>
          <w:rFonts w:hint="eastAsia" w:ascii="仿宋_GB2312" w:hAnsi="仿宋_GB2312" w:eastAsia="仿宋_GB2312" w:cs="仿宋_GB2312"/>
          <w:color w:val="000000"/>
          <w:sz w:val="32"/>
          <w:szCs w:val="32"/>
          <w:u w:val="none"/>
          <w:lang w:val="en-US" w:eastAsia="zh-CN"/>
        </w:rPr>
        <w:t>县级以上地方人民政府应当加大财政投入，完善居家社区养老服务政策和基本公共服务，推动和支持企业事业单位、社会组织等</w:t>
      </w:r>
      <w:r>
        <w:rPr>
          <w:rFonts w:hint="eastAsia" w:ascii="仿宋_GB2312" w:hAnsi="仿宋_GB2312" w:eastAsia="仿宋_GB2312" w:cs="仿宋_GB2312"/>
          <w:color w:val="000000"/>
          <w:sz w:val="32"/>
          <w:szCs w:val="32"/>
          <w:lang w:val="en-US" w:eastAsia="zh-CN"/>
        </w:rPr>
        <w:t>提供多样化居家社区养老服务。</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乡（镇）人民政府、街道办事处应当对辖区内老年人的健康状况、家庭情况和养老服务需求等进行调查，组织开展文体娱乐、互助养老等活动。</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eastAsia" w:ascii="仿宋_GB2312" w:hAnsi="仿宋_GB2312" w:eastAsia="仿宋_GB2312" w:cs="仿宋_GB2312"/>
          <w:color w:val="000000"/>
          <w:sz w:val="32"/>
          <w:szCs w:val="32"/>
        </w:rPr>
      </w:pPr>
      <w:r>
        <w:rPr>
          <w:rFonts w:hint="eastAsia" w:ascii="黑体" w:hAnsi="黑体" w:eastAsia="黑体" w:cs="黑体"/>
          <w:color w:val="auto"/>
          <w:sz w:val="32"/>
          <w:szCs w:val="32"/>
        </w:rPr>
        <w:t>第</w:t>
      </w:r>
      <w:r>
        <w:rPr>
          <w:rFonts w:hint="eastAsia" w:ascii="黑体" w:hAnsi="黑体" w:eastAsia="黑体" w:cs="黑体"/>
          <w:color w:val="auto"/>
          <w:sz w:val="32"/>
          <w:szCs w:val="32"/>
          <w:lang w:eastAsia="zh-CN"/>
        </w:rPr>
        <w:t>二十二</w:t>
      </w:r>
      <w:r>
        <w:rPr>
          <w:rFonts w:hint="eastAsia" w:ascii="黑体" w:hAnsi="黑体" w:eastAsia="黑体" w:cs="黑体"/>
          <w:color w:val="auto"/>
          <w:sz w:val="32"/>
          <w:szCs w:val="32"/>
        </w:rPr>
        <w:t>条</w:t>
      </w:r>
      <w:r>
        <w:rPr>
          <w:rFonts w:hint="eastAsia" w:ascii="仿宋_GB2312" w:hAnsi="仿宋_GB2312" w:eastAsia="仿宋_GB2312" w:cs="仿宋_GB2312"/>
          <w:color w:val="000000"/>
          <w:sz w:val="32"/>
          <w:szCs w:val="32"/>
        </w:rPr>
        <w:t xml:space="preserve">  居家社区养老服务应当以提供政府发布的基本养老服务清单内的服务项目为主，其他养老服务为辅。提供的服务项目属于基本养老服</w:t>
      </w:r>
      <w:r>
        <w:rPr>
          <w:rFonts w:hint="eastAsia" w:ascii="仿宋_GB2312" w:hAnsi="仿宋_GB2312" w:eastAsia="仿宋_GB2312" w:cs="仿宋_GB2312"/>
          <w:color w:val="000000"/>
          <w:spacing w:val="6"/>
          <w:sz w:val="32"/>
          <w:szCs w:val="32"/>
        </w:rPr>
        <w:t>务清单内的，其费用由政府和接受服务的老年人按照有关规定承担。</w:t>
      </w:r>
    </w:p>
    <w:p>
      <w:pPr>
        <w:pStyle w:val="13"/>
        <w:keepNext w:val="0"/>
        <w:keepLines w:val="0"/>
        <w:pageBreakBefore w:val="0"/>
        <w:widowControl w:val="0"/>
        <w:kinsoku/>
        <w:wordWrap/>
        <w:overflowPunct/>
        <w:topLinePunct w:val="0"/>
        <w:autoSpaceDE/>
        <w:autoSpaceDN/>
        <w:bidi w:val="0"/>
        <w:adjustRightInd/>
        <w:snapToGrid/>
        <w:spacing w:after="0" w:afterLines="0" w:line="560" w:lineRule="exact"/>
        <w:ind w:left="0" w:leftChars="0" w:right="0" w:rightChars="0" w:firstLine="640" w:firstLineChars="200"/>
        <w:textAlignment w:val="auto"/>
        <w:outlineLvl w:val="9"/>
        <w:rPr>
          <w:rFonts w:hint="eastAsia" w:ascii="仿宋_GB2312" w:hAnsi="仿宋_GB2312" w:eastAsia="仿宋_GB2312" w:cs="仿宋_GB2312"/>
          <w:color w:val="000000"/>
          <w:kern w:val="2"/>
          <w:sz w:val="32"/>
          <w:szCs w:val="32"/>
          <w:lang w:val="en-US" w:eastAsia="zh-CN" w:bidi="ar-SA"/>
        </w:rPr>
      </w:pPr>
      <w:r>
        <w:rPr>
          <w:rFonts w:hint="eastAsia" w:ascii="黑体" w:hAnsi="黑体" w:eastAsia="黑体" w:cs="黑体"/>
          <w:color w:val="auto"/>
          <w:sz w:val="32"/>
          <w:szCs w:val="32"/>
        </w:rPr>
        <w:t>第</w:t>
      </w:r>
      <w:r>
        <w:rPr>
          <w:rFonts w:hint="eastAsia" w:ascii="黑体" w:hAnsi="黑体" w:eastAsia="黑体" w:cs="黑体"/>
          <w:color w:val="auto"/>
          <w:sz w:val="32"/>
          <w:szCs w:val="32"/>
          <w:lang w:eastAsia="zh-CN"/>
        </w:rPr>
        <w:t>二十三</w:t>
      </w:r>
      <w:r>
        <w:rPr>
          <w:rFonts w:hint="eastAsia" w:ascii="黑体" w:hAnsi="黑体" w:eastAsia="黑体" w:cs="黑体"/>
          <w:color w:val="auto"/>
          <w:sz w:val="32"/>
          <w:szCs w:val="32"/>
        </w:rPr>
        <w:t>条</w:t>
      </w:r>
      <w:r>
        <w:rPr>
          <w:rFonts w:hint="eastAsia" w:ascii="仿宋" w:hAnsi="仿宋" w:eastAsia="仿宋_GB2312" w:cs="仿宋"/>
          <w:color w:val="000000"/>
          <w:sz w:val="32"/>
          <w:szCs w:val="32"/>
          <w:lang w:val="en-US" w:eastAsia="zh-CN"/>
        </w:rPr>
        <w:t xml:space="preserve">  </w:t>
      </w:r>
      <w:r>
        <w:rPr>
          <w:rFonts w:hint="eastAsia" w:ascii="仿宋_GB2312" w:hAnsi="仿宋_GB2312" w:eastAsia="仿宋_GB2312" w:cs="仿宋_GB2312"/>
          <w:color w:val="000000"/>
          <w:kern w:val="2"/>
          <w:sz w:val="32"/>
          <w:szCs w:val="32"/>
          <w:lang w:val="en-US" w:eastAsia="zh-CN" w:bidi="ar-SA"/>
        </w:rPr>
        <w:t>地方各级人民政府应当通过补贴、补助、购买</w:t>
      </w:r>
      <w:r>
        <w:rPr>
          <w:rFonts w:hint="eastAsia" w:ascii="仿宋_GB2312" w:hAnsi="仿宋_GB2312" w:eastAsia="仿宋_GB2312" w:cs="仿宋_GB2312"/>
          <w:color w:val="000000"/>
          <w:spacing w:val="-6"/>
          <w:kern w:val="2"/>
          <w:sz w:val="32"/>
          <w:szCs w:val="32"/>
          <w:lang w:val="en-US" w:eastAsia="zh-CN" w:bidi="ar-SA"/>
        </w:rPr>
        <w:t>服务等方式，优先保障经济困难老年人的居家社区养老服务需求。</w:t>
      </w:r>
    </w:p>
    <w:p>
      <w:pPr>
        <w:pStyle w:val="13"/>
        <w:keepNext w:val="0"/>
        <w:keepLines w:val="0"/>
        <w:pageBreakBefore w:val="0"/>
        <w:widowControl w:val="0"/>
        <w:kinsoku/>
        <w:wordWrap/>
        <w:overflowPunct/>
        <w:topLinePunct w:val="0"/>
        <w:autoSpaceDE/>
        <w:autoSpaceDN/>
        <w:bidi w:val="0"/>
        <w:adjustRightInd/>
        <w:snapToGrid/>
        <w:spacing w:after="0" w:afterLines="0" w:line="560" w:lineRule="exact"/>
        <w:ind w:left="0" w:leftChars="0" w:right="0" w:rightChars="0" w:firstLine="640" w:firstLineChars="200"/>
        <w:textAlignment w:val="auto"/>
        <w:outlineLvl w:val="9"/>
        <w:rPr>
          <w:rFonts w:hint="eastAsia" w:ascii="仿宋_GB2312" w:hAnsi="仿宋_GB2312" w:eastAsia="仿宋_GB2312" w:cs="仿宋_GB2312"/>
          <w:color w:val="000000"/>
          <w:kern w:val="2"/>
          <w:sz w:val="32"/>
          <w:szCs w:val="32"/>
          <w:lang w:val="en-US" w:eastAsia="zh-CN" w:bidi="ar-SA"/>
        </w:rPr>
      </w:pPr>
      <w:r>
        <w:rPr>
          <w:rFonts w:hint="eastAsia" w:ascii="仿宋" w:hAnsi="仿宋" w:eastAsia="仿宋_GB2312" w:cs="仿宋"/>
          <w:color w:val="000000"/>
          <w:sz w:val="32"/>
          <w:szCs w:val="32"/>
          <w:lang w:val="en-US" w:eastAsia="zh-CN"/>
        </w:rPr>
        <w:t>县</w:t>
      </w:r>
      <w:r>
        <w:rPr>
          <w:rFonts w:hint="eastAsia" w:ascii="仿宋_GB2312" w:hAnsi="仿宋_GB2312" w:eastAsia="仿宋_GB2312" w:cs="仿宋_GB2312"/>
          <w:color w:val="000000"/>
          <w:kern w:val="2"/>
          <w:sz w:val="32"/>
          <w:szCs w:val="32"/>
          <w:lang w:val="en-US" w:eastAsia="zh-CN" w:bidi="ar-SA"/>
        </w:rPr>
        <w:t>级人民政府及其民政部门应当建立定期巡访工作机制，通过自行组织、政府购买服务、委托养老服务组织或者组织志愿服务等方式，对失能、失智、孤寡、残疾、高龄等老年人的生活状</w:t>
      </w:r>
      <w:r>
        <w:rPr>
          <w:rFonts w:hint="eastAsia" w:ascii="仿宋_GB2312" w:hAnsi="仿宋_GB2312" w:eastAsia="仿宋_GB2312" w:cs="仿宋_GB2312"/>
          <w:color w:val="000000"/>
          <w:spacing w:val="-6"/>
          <w:kern w:val="2"/>
          <w:sz w:val="32"/>
          <w:szCs w:val="32"/>
          <w:lang w:val="en-US" w:eastAsia="zh-CN" w:bidi="ar-SA"/>
        </w:rPr>
        <w:t>况进行探访，提供关爱服务，防范和化解意外风险。</w:t>
      </w:r>
    </w:p>
    <w:p>
      <w:pPr>
        <w:keepNext w:val="0"/>
        <w:keepLines w:val="0"/>
        <w:pageBreakBefore w:val="0"/>
        <w:widowControl w:val="0"/>
        <w:kinsoku/>
        <w:wordWrap/>
        <w:overflowPunct/>
        <w:topLinePunct w:val="0"/>
        <w:bidi w:val="0"/>
        <w:snapToGrid/>
        <w:spacing w:line="560" w:lineRule="exact"/>
        <w:ind w:left="0" w:leftChars="0" w:right="0" w:rightChars="0"/>
        <w:textAlignment w:val="auto"/>
        <w:outlineLvl w:val="9"/>
        <w:rPr>
          <w:rFonts w:hint="eastAsia" w:ascii="仿宋_GB2312" w:hAnsi="仿宋_GB2312" w:eastAsia="仿宋_GB2312" w:cs="仿宋_GB2312"/>
          <w:color w:val="000000"/>
          <w:kern w:val="2"/>
          <w:sz w:val="32"/>
          <w:szCs w:val="32"/>
          <w:lang w:val="en-US" w:eastAsia="zh-CN" w:bidi="ar-SA"/>
        </w:rPr>
      </w:pPr>
      <w:r>
        <w:rPr>
          <w:rFonts w:hint="eastAsia" w:ascii="仿宋_GB2312" w:hAnsi="仿宋_GB2312" w:eastAsia="仿宋_GB2312" w:cs="仿宋_GB2312"/>
          <w:color w:val="000000"/>
          <w:kern w:val="2"/>
          <w:sz w:val="32"/>
          <w:szCs w:val="32"/>
          <w:lang w:val="en-US" w:eastAsia="zh-CN" w:bidi="ar-SA"/>
        </w:rPr>
        <w:t xml:space="preserve">    </w:t>
      </w:r>
      <w:bookmarkStart w:id="0" w:name="_GoBack"/>
      <w:bookmarkEnd w:id="0"/>
      <w:r>
        <w:rPr>
          <w:rFonts w:hint="eastAsia" w:ascii="仿宋_GB2312" w:hAnsi="仿宋_GB2312" w:eastAsia="仿宋_GB2312" w:cs="仿宋_GB2312"/>
          <w:color w:val="000000"/>
          <w:kern w:val="2"/>
          <w:sz w:val="32"/>
          <w:szCs w:val="32"/>
          <w:lang w:val="en-US" w:eastAsia="zh-CN" w:bidi="ar-SA"/>
        </w:rPr>
        <w:t>支持养老机构、社工机构、红十字会以及其他社会组织提供应急救护和照护技能培训服务，提高家庭成员照护失能老年人的能力。</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eastAsia" w:ascii="仿宋_GB2312" w:hAnsi="仿宋_GB2312" w:eastAsia="仿宋_GB2312" w:cs="仿宋_GB2312"/>
          <w:color w:val="000000"/>
          <w:sz w:val="32"/>
          <w:szCs w:val="32"/>
          <w:lang w:val="en-US" w:eastAsia="zh-CN"/>
        </w:rPr>
      </w:pPr>
      <w:r>
        <w:rPr>
          <w:rFonts w:hint="eastAsia" w:ascii="黑体" w:hAnsi="黑体" w:eastAsia="黑体" w:cs="黑体"/>
          <w:color w:val="auto"/>
          <w:sz w:val="32"/>
          <w:szCs w:val="32"/>
        </w:rPr>
        <w:t>第</w:t>
      </w:r>
      <w:r>
        <w:rPr>
          <w:rFonts w:hint="eastAsia" w:ascii="黑体" w:hAnsi="黑体" w:eastAsia="黑体" w:cs="黑体"/>
          <w:color w:val="auto"/>
          <w:sz w:val="32"/>
          <w:szCs w:val="32"/>
          <w:lang w:eastAsia="zh-CN"/>
        </w:rPr>
        <w:t>二十四</w:t>
      </w:r>
      <w:r>
        <w:rPr>
          <w:rFonts w:hint="eastAsia" w:ascii="黑体" w:hAnsi="黑体" w:eastAsia="黑体" w:cs="黑体"/>
          <w:color w:val="auto"/>
          <w:sz w:val="32"/>
          <w:szCs w:val="32"/>
        </w:rPr>
        <w:t>条</w:t>
      </w:r>
      <w:r>
        <w:rPr>
          <w:rFonts w:hint="eastAsia" w:ascii="仿宋" w:hAnsi="仿宋" w:eastAsia="仿宋_GB2312" w:cs="仿宋"/>
          <w:color w:val="000000"/>
          <w:sz w:val="32"/>
          <w:szCs w:val="32"/>
        </w:rPr>
        <w:t xml:space="preserve">  </w:t>
      </w:r>
      <w:r>
        <w:rPr>
          <w:rFonts w:hint="eastAsia" w:ascii="仿宋_GB2312" w:hAnsi="仿宋_GB2312" w:eastAsia="仿宋_GB2312" w:cs="仿宋_GB2312"/>
          <w:color w:val="000000"/>
          <w:sz w:val="32"/>
          <w:szCs w:val="32"/>
          <w:lang w:val="en-US" w:eastAsia="zh-CN"/>
        </w:rPr>
        <w:t>县级以上地方人民政府民政部门以及乡（镇）人民政府、街道办事处应当推广和使用居家养老信息化服务平台，整合各类养老服务资源，实现养老服务需求和供给的对接。</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支持社会力量运用信息化手段创新养老服务模式，为居家老年人提供紧急呼叫、无线定位、安全监测等服务。</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县级人民政府应当为符合条件的高龄、独居及其他有特殊需要的老年人免费安装应急呼叫设施，其应急呼叫服务所需信息费用通过政府购买服务方式予以保障。</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eastAsia" w:ascii="仿宋" w:hAnsi="仿宋" w:eastAsia="仿宋_GB2312" w:cs="仿宋"/>
          <w:color w:val="000000"/>
          <w:sz w:val="32"/>
          <w:szCs w:val="32"/>
        </w:rPr>
      </w:pPr>
      <w:r>
        <w:rPr>
          <w:rFonts w:hint="eastAsia" w:ascii="黑体" w:hAnsi="黑体" w:eastAsia="黑体" w:cs="黑体"/>
          <w:color w:val="auto"/>
          <w:sz w:val="32"/>
          <w:szCs w:val="32"/>
        </w:rPr>
        <w:t>第</w:t>
      </w:r>
      <w:r>
        <w:rPr>
          <w:rFonts w:hint="eastAsia" w:ascii="黑体" w:hAnsi="黑体" w:eastAsia="黑体" w:cs="黑体"/>
          <w:color w:val="auto"/>
          <w:sz w:val="32"/>
          <w:szCs w:val="32"/>
          <w:lang w:eastAsia="zh-CN"/>
        </w:rPr>
        <w:t>二十五</w:t>
      </w:r>
      <w:r>
        <w:rPr>
          <w:rFonts w:hint="eastAsia" w:ascii="黑体" w:hAnsi="黑体" w:eastAsia="黑体" w:cs="黑体"/>
          <w:color w:val="auto"/>
          <w:sz w:val="32"/>
          <w:szCs w:val="32"/>
        </w:rPr>
        <w:t>条</w:t>
      </w:r>
      <w:r>
        <w:rPr>
          <w:rFonts w:hint="eastAsia" w:ascii="仿宋" w:hAnsi="仿宋" w:eastAsia="仿宋_GB2312" w:cs="仿宋"/>
          <w:color w:val="000000"/>
          <w:sz w:val="32"/>
          <w:szCs w:val="32"/>
        </w:rPr>
        <w:t xml:space="preserve">  县级以上地方人民政府及其民政部门应当推动居家社区机构养老服务融合发展，在社区设立嵌入式养老服务机构，为老年人提供生活照料、紧急救援、精神慰藉等服务。</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eastAsia" w:ascii="仿宋_GB2312" w:hAnsi="仿宋_GB2312" w:eastAsia="仿宋_GB2312" w:cs="仿宋_GB2312"/>
          <w:color w:val="000000"/>
          <w:sz w:val="32"/>
          <w:szCs w:val="32"/>
          <w:lang w:val="en-US" w:eastAsia="zh-CN"/>
        </w:rPr>
      </w:pPr>
      <w:r>
        <w:rPr>
          <w:rFonts w:hint="eastAsia" w:ascii="黑体" w:hAnsi="黑体" w:eastAsia="黑体" w:cs="黑体"/>
          <w:color w:val="auto"/>
          <w:sz w:val="32"/>
          <w:szCs w:val="32"/>
        </w:rPr>
        <w:t>第</w:t>
      </w:r>
      <w:r>
        <w:rPr>
          <w:rFonts w:hint="eastAsia" w:ascii="黑体" w:hAnsi="黑体" w:eastAsia="黑体" w:cs="黑体"/>
          <w:color w:val="auto"/>
          <w:sz w:val="32"/>
          <w:szCs w:val="32"/>
          <w:lang w:eastAsia="zh-CN"/>
        </w:rPr>
        <w:t>二十六</w:t>
      </w:r>
      <w:r>
        <w:rPr>
          <w:rFonts w:hint="eastAsia" w:ascii="黑体" w:hAnsi="黑体" w:eastAsia="黑体" w:cs="黑体"/>
          <w:color w:val="auto"/>
          <w:sz w:val="32"/>
          <w:szCs w:val="32"/>
        </w:rPr>
        <w:t>条</w:t>
      </w:r>
      <w:r>
        <w:rPr>
          <w:rFonts w:hint="eastAsia" w:ascii="黑体" w:hAnsi="黑体" w:eastAsia="黑体" w:cs="黑体"/>
          <w:sz w:val="32"/>
          <w:szCs w:val="32"/>
          <w:highlight w:val="none"/>
          <w:lang w:val="en-US" w:eastAsia="zh-CN"/>
        </w:rPr>
        <w:t xml:space="preserve">  </w:t>
      </w:r>
      <w:r>
        <w:rPr>
          <w:rFonts w:hint="eastAsia" w:ascii="仿宋_GB2312" w:hAnsi="仿宋_GB2312" w:eastAsia="仿宋_GB2312" w:cs="仿宋_GB2312"/>
          <w:color w:val="000000"/>
          <w:sz w:val="32"/>
          <w:szCs w:val="32"/>
          <w:lang w:val="en-US" w:eastAsia="zh-CN"/>
        </w:rPr>
        <w:t>支持乡（镇）人民政府、街道办事处、社区、村开设长者食堂、老年助餐点等场所。支持社会组织、餐饮企业、物业服务企业、单位食堂提供老年助餐服务。</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县级以上地方人民政府应当制定长者食堂、老年助餐点的规划布局和建设运营标准，形成政府引导、社会捐助、公众参与、志愿互助的格局，并会同相关部门加强指导和监督。乡（镇）人民政府、街道办事处应当指定专人负责，并定期研究推进本地长者食堂、老年助餐点的建设运营工作。</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地方各级人民政府应当开发公益性岗位，优先安排符合岗位要求的就业困难人员参与助餐服务。对相关服务经营场所实行低租或者免租政策，其用水、用电、用气价格按规定优先予以减免。</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eastAsia" w:ascii="仿宋_GB2312" w:hAnsi="仿宋_GB2312" w:eastAsia="仿宋_GB2312" w:cs="仿宋_GB2312"/>
          <w:color w:val="000000"/>
          <w:sz w:val="32"/>
          <w:szCs w:val="32"/>
          <w:lang w:val="en-US" w:eastAsia="zh-CN"/>
        </w:rPr>
      </w:pPr>
      <w:r>
        <w:rPr>
          <w:rFonts w:hint="eastAsia" w:ascii="黑体" w:hAnsi="黑体" w:eastAsia="黑体" w:cs="黑体"/>
          <w:sz w:val="32"/>
          <w:szCs w:val="32"/>
          <w:highlight w:val="none"/>
          <w:lang w:val="en-US" w:eastAsia="zh-CN"/>
        </w:rPr>
        <w:t xml:space="preserve">第二十七条  </w:t>
      </w:r>
      <w:r>
        <w:rPr>
          <w:rFonts w:hint="eastAsia" w:ascii="仿宋_GB2312" w:hAnsi="仿宋_GB2312" w:eastAsia="仿宋_GB2312" w:cs="仿宋_GB2312"/>
          <w:color w:val="000000"/>
          <w:sz w:val="32"/>
          <w:szCs w:val="32"/>
          <w:lang w:val="en-US" w:eastAsia="zh-CN"/>
        </w:rPr>
        <w:t>县级以上地方人民政府应当通过补贴和其他激励措施，支持养老服务机构在重残、失智、失能、半失能老年人家中设置家庭养老床位，安装必要的呼叫应答、信息传输和服务监控等设备，提供居家上门服务。</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eastAsia" w:ascii="仿宋_GB2312" w:hAnsi="仿宋_GB2312" w:eastAsia="仿宋_GB2312" w:cs="仿宋_GB2312"/>
          <w:color w:val="000000"/>
          <w:sz w:val="32"/>
          <w:szCs w:val="32"/>
          <w:lang w:val="en-US" w:eastAsia="zh-CN"/>
        </w:rPr>
      </w:pPr>
      <w:r>
        <w:rPr>
          <w:rFonts w:hint="eastAsia" w:ascii="黑体" w:hAnsi="黑体" w:eastAsia="黑体" w:cs="黑体"/>
          <w:sz w:val="32"/>
          <w:szCs w:val="32"/>
          <w:highlight w:val="none"/>
          <w:lang w:val="en-US" w:eastAsia="zh-CN"/>
        </w:rPr>
        <w:t>第二十八条</w:t>
      </w:r>
      <w:r>
        <w:rPr>
          <w:rFonts w:hint="eastAsia" w:ascii="仿宋" w:hAnsi="仿宋" w:eastAsia="仿宋_GB2312" w:cs="仿宋"/>
          <w:color w:val="000000"/>
          <w:sz w:val="32"/>
          <w:szCs w:val="32"/>
        </w:rPr>
        <w:t xml:space="preserve">  </w:t>
      </w:r>
      <w:r>
        <w:rPr>
          <w:rFonts w:hint="eastAsia" w:ascii="仿宋_GB2312" w:hAnsi="仿宋_GB2312" w:eastAsia="仿宋_GB2312" w:cs="仿宋_GB2312"/>
          <w:color w:val="000000"/>
          <w:sz w:val="32"/>
          <w:szCs w:val="32"/>
          <w:lang w:val="en-US" w:eastAsia="zh-CN"/>
        </w:rPr>
        <w:t>发挥城乡基层党组织、自治组织、老年人组织、物业服务人等作用，支持发展邻里互助、亲友相助等互助性养老服务模式。支持老年人之间的帮扶关爱。</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县级以上地方人民政府民政部门应当培育和扶持为老年人服务的志愿服务组织，建立健全互助性养老服务时间储蓄、兑换等激励、保障机制。</w:t>
      </w:r>
    </w:p>
    <w:p>
      <w:pPr>
        <w:keepNext w:val="0"/>
        <w:keepLines w:val="0"/>
        <w:pageBreakBefore w:val="0"/>
        <w:widowControl w:val="0"/>
        <w:kinsoku/>
        <w:wordWrap/>
        <w:overflowPunct/>
        <w:topLinePunct w:val="0"/>
        <w:autoSpaceDE/>
        <w:autoSpaceDN/>
        <w:bidi w:val="0"/>
        <w:adjustRightInd/>
        <w:snapToGrid/>
        <w:spacing w:before="156" w:beforeLines="50" w:after="156" w:afterLines="50" w:line="560" w:lineRule="exact"/>
        <w:ind w:left="0" w:leftChars="0" w:right="0" w:rightChars="0" w:firstLine="0" w:firstLineChars="0"/>
        <w:jc w:val="center"/>
        <w:textAlignment w:val="auto"/>
        <w:outlineLvl w:val="9"/>
        <w:rPr>
          <w:rFonts w:hint="eastAsia" w:ascii="仿宋" w:hAnsi="仿宋" w:eastAsia="仿宋_GB2312" w:cs="仿宋"/>
          <w:color w:val="000000"/>
          <w:sz w:val="32"/>
          <w:szCs w:val="32"/>
        </w:rPr>
      </w:pPr>
      <w:r>
        <w:rPr>
          <w:rFonts w:hint="eastAsia" w:ascii="黑体" w:hAnsi="黑体" w:eastAsia="黑体" w:cs="黑体"/>
          <w:color w:val="000000"/>
          <w:sz w:val="32"/>
          <w:szCs w:val="32"/>
        </w:rPr>
        <w:t>第四章  机构养老服务</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eastAsia" w:ascii="仿宋_GB2312" w:hAnsi="仿宋_GB2312" w:eastAsia="仿宋_GB2312" w:cs="仿宋_GB2312"/>
          <w:color w:val="000000"/>
          <w:sz w:val="32"/>
          <w:szCs w:val="32"/>
          <w:lang w:val="en-US" w:eastAsia="zh-CN"/>
        </w:rPr>
      </w:pPr>
      <w:r>
        <w:rPr>
          <w:rFonts w:hint="eastAsia" w:ascii="黑体" w:hAnsi="黑体" w:eastAsia="黑体" w:cs="黑体"/>
          <w:sz w:val="32"/>
          <w:szCs w:val="32"/>
          <w:highlight w:val="none"/>
          <w:lang w:val="en-US" w:eastAsia="zh-CN"/>
        </w:rPr>
        <w:t xml:space="preserve">第二十九条  </w:t>
      </w:r>
      <w:r>
        <w:rPr>
          <w:rFonts w:hint="eastAsia" w:ascii="仿宋_GB2312" w:hAnsi="仿宋_GB2312" w:eastAsia="仿宋_GB2312" w:cs="仿宋_GB2312"/>
          <w:color w:val="000000"/>
          <w:sz w:val="32"/>
          <w:szCs w:val="32"/>
          <w:lang w:val="en-US" w:eastAsia="zh-CN"/>
        </w:rPr>
        <w:t>县级以上地方人民政府应当按照养老服务设施布局专项规划的要求，投资建设公办养老机构，为符合条件的老年人提供照护服务。</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eastAsia" w:ascii="仿宋_GB2312" w:hAnsi="仿宋_GB2312" w:eastAsia="仿宋_GB2312" w:cs="仿宋_GB2312"/>
          <w:color w:val="000000"/>
          <w:sz w:val="32"/>
          <w:szCs w:val="32"/>
          <w:lang w:val="en-US" w:eastAsia="zh-CN"/>
        </w:rPr>
      </w:pPr>
      <w:r>
        <w:rPr>
          <w:rFonts w:hint="eastAsia" w:ascii="仿宋" w:hAnsi="仿宋" w:eastAsia="仿宋_GB2312" w:cs="仿宋"/>
          <w:color w:val="000000"/>
          <w:sz w:val="32"/>
          <w:szCs w:val="32"/>
          <w:lang w:val="en-US" w:eastAsia="zh-CN"/>
        </w:rPr>
        <w:t>鼓励、支持社会资本通过整体租赁、委托管理等方式，建设、运营、</w:t>
      </w:r>
      <w:r>
        <w:rPr>
          <w:rFonts w:hint="eastAsia" w:ascii="仿宋_GB2312" w:hAnsi="仿宋_GB2312" w:eastAsia="仿宋_GB2312" w:cs="仿宋_GB2312"/>
          <w:color w:val="000000"/>
          <w:sz w:val="32"/>
          <w:szCs w:val="32"/>
          <w:lang w:val="en-US" w:eastAsia="zh-CN"/>
        </w:rPr>
        <w:t>管理政府投资兴办的养老机构。</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鼓励、支持社会力量以独资、合资、合作等方式兴办养老机构，满足不同层次的养老服务需求。</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eastAsia" w:ascii="仿宋_GB2312" w:hAnsi="仿宋_GB2312" w:eastAsia="仿宋_GB2312" w:cs="仿宋_GB2312"/>
          <w:color w:val="000000"/>
          <w:sz w:val="32"/>
          <w:szCs w:val="32"/>
          <w:lang w:val="en-US" w:eastAsia="zh-CN"/>
        </w:rPr>
      </w:pPr>
      <w:r>
        <w:rPr>
          <w:rFonts w:hint="eastAsia" w:ascii="黑体" w:hAnsi="黑体" w:eastAsia="黑体" w:cs="黑体"/>
          <w:sz w:val="32"/>
          <w:szCs w:val="32"/>
          <w:highlight w:val="none"/>
          <w:lang w:val="en-US" w:eastAsia="zh-CN"/>
        </w:rPr>
        <w:t>第三十条</w:t>
      </w:r>
      <w:r>
        <w:rPr>
          <w:rFonts w:hint="eastAsia" w:ascii="仿宋" w:hAnsi="仿宋" w:eastAsia="仿宋_GB2312" w:cs="仿宋"/>
          <w:color w:val="000000"/>
          <w:sz w:val="32"/>
          <w:szCs w:val="32"/>
          <w:lang w:val="en-US" w:eastAsia="zh-CN"/>
        </w:rPr>
        <w:t xml:space="preserve">  </w:t>
      </w:r>
      <w:r>
        <w:rPr>
          <w:rFonts w:hint="eastAsia" w:ascii="仿宋_GB2312" w:hAnsi="仿宋_GB2312" w:eastAsia="仿宋_GB2312" w:cs="仿宋_GB2312"/>
          <w:color w:val="000000"/>
          <w:kern w:val="2"/>
          <w:sz w:val="32"/>
          <w:szCs w:val="32"/>
          <w:lang w:val="en-US" w:eastAsia="zh-CN" w:bidi="ar-SA"/>
        </w:rPr>
        <w:t>政府运营的养老机构按照非营利原则，实行政府定价或者政府指导价；以公建民营、委托管理等方式运营的养老</w:t>
      </w:r>
      <w:r>
        <w:rPr>
          <w:rFonts w:hint="eastAsia" w:ascii="仿宋_GB2312" w:hAnsi="仿宋_GB2312" w:eastAsia="仿宋_GB2312" w:cs="仿宋_GB2312"/>
          <w:color w:val="000000"/>
          <w:spacing w:val="-11"/>
          <w:kern w:val="2"/>
          <w:sz w:val="32"/>
          <w:szCs w:val="32"/>
          <w:lang w:val="en-US" w:eastAsia="zh-CN" w:bidi="ar-SA"/>
        </w:rPr>
        <w:t>机构，具体服务收费项目和标准由运营者依据委托合同等合理确定</w:t>
      </w:r>
      <w:r>
        <w:rPr>
          <w:rFonts w:hint="eastAsia" w:ascii="仿宋_GB2312" w:hAnsi="仿宋_GB2312" w:eastAsia="仿宋_GB2312" w:cs="仿宋_GB2312"/>
          <w:color w:val="000000"/>
          <w:spacing w:val="-11"/>
          <w:sz w:val="32"/>
          <w:szCs w:val="32"/>
          <w:lang w:val="en-US" w:eastAsia="zh-CN"/>
        </w:rPr>
        <w:t>。</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40" w:firstLineChars="200"/>
        <w:textAlignment w:val="auto"/>
        <w:outlineLvl w:val="9"/>
        <w:rPr>
          <w:rFonts w:hint="eastAsia" w:ascii="仿宋_GB2312" w:hAnsi="仿宋_GB2312" w:eastAsia="仿宋_GB2312" w:cs="仿宋_GB2312"/>
          <w:color w:val="000000"/>
          <w:kern w:val="2"/>
          <w:sz w:val="32"/>
          <w:szCs w:val="32"/>
          <w:lang w:val="en-US" w:eastAsia="zh-CN" w:bidi="ar-SA"/>
        </w:rPr>
      </w:pPr>
      <w:r>
        <w:rPr>
          <w:rFonts w:hint="eastAsia" w:ascii="仿宋_GB2312" w:hAnsi="仿宋_GB2312" w:eastAsia="仿宋_GB2312" w:cs="仿宋_GB2312"/>
          <w:color w:val="000000"/>
          <w:sz w:val="32"/>
          <w:szCs w:val="32"/>
          <w:lang w:val="en-US" w:eastAsia="zh-CN"/>
        </w:rPr>
        <w:t>社会力量设立的非营利性养</w:t>
      </w:r>
      <w:r>
        <w:rPr>
          <w:rFonts w:hint="eastAsia" w:ascii="仿宋_GB2312" w:hAnsi="仿宋_GB2312" w:eastAsia="仿宋_GB2312" w:cs="仿宋_GB2312"/>
          <w:color w:val="000000"/>
          <w:kern w:val="2"/>
          <w:sz w:val="32"/>
          <w:szCs w:val="32"/>
          <w:lang w:val="en-US" w:eastAsia="zh-CN" w:bidi="ar-SA"/>
        </w:rPr>
        <w:t>老机构服务收费项目和标准应当与其公益性质和服务质量相适应，接受政府有关部门对其财务收支状况、收费项目和标准的监督管理。</w:t>
      </w:r>
    </w:p>
    <w:p>
      <w:pPr>
        <w:pStyle w:val="13"/>
        <w:keepNext w:val="0"/>
        <w:keepLines w:val="0"/>
        <w:pageBreakBefore w:val="0"/>
        <w:widowControl w:val="0"/>
        <w:kinsoku/>
        <w:wordWrap/>
        <w:overflowPunct/>
        <w:topLinePunct w:val="0"/>
        <w:autoSpaceDE/>
        <w:autoSpaceDN/>
        <w:bidi w:val="0"/>
        <w:adjustRightInd/>
        <w:snapToGrid/>
        <w:spacing w:after="0" w:afterLines="0" w:line="580" w:lineRule="exact"/>
        <w:ind w:left="0" w:leftChars="0" w:right="0" w:rightChars="0" w:firstLine="640" w:firstLineChars="200"/>
        <w:textAlignment w:val="auto"/>
        <w:outlineLvl w:val="9"/>
        <w:rPr>
          <w:rFonts w:hint="eastAsia" w:ascii="仿宋_GB2312" w:hAnsi="仿宋_GB2312" w:eastAsia="仿宋_GB2312" w:cs="仿宋_GB2312"/>
          <w:color w:val="000000"/>
          <w:kern w:val="2"/>
          <w:sz w:val="32"/>
          <w:szCs w:val="32"/>
          <w:lang w:val="en-US" w:eastAsia="zh-CN" w:bidi="ar-SA"/>
        </w:rPr>
      </w:pPr>
      <w:r>
        <w:rPr>
          <w:rFonts w:hint="eastAsia" w:ascii="仿宋_GB2312" w:hAnsi="仿宋_GB2312" w:eastAsia="仿宋_GB2312" w:cs="仿宋_GB2312"/>
          <w:color w:val="000000"/>
          <w:kern w:val="2"/>
          <w:sz w:val="32"/>
          <w:szCs w:val="32"/>
          <w:lang w:val="en-US" w:eastAsia="zh-CN" w:bidi="ar-SA"/>
        </w:rPr>
        <w:t>社会力量设立的营利性养老机构应当将养老服务收费项目和标准向社会公开，实行明码标价，接受政府监管和社会监督。</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40" w:firstLineChars="200"/>
        <w:textAlignment w:val="auto"/>
        <w:outlineLvl w:val="9"/>
        <w:rPr>
          <w:rFonts w:hint="eastAsia" w:ascii="仿宋_GB2312" w:hAnsi="仿宋_GB2312" w:eastAsia="仿宋_GB2312" w:cs="仿宋_GB2312"/>
          <w:color w:val="000000"/>
          <w:sz w:val="32"/>
          <w:szCs w:val="32"/>
          <w:lang w:val="en-US" w:eastAsia="zh-CN"/>
        </w:rPr>
      </w:pPr>
      <w:r>
        <w:rPr>
          <w:rFonts w:hint="eastAsia" w:ascii="黑体" w:hAnsi="黑体" w:eastAsia="黑体" w:cs="黑体"/>
          <w:sz w:val="32"/>
          <w:szCs w:val="32"/>
          <w:highlight w:val="none"/>
          <w:lang w:val="en-US" w:eastAsia="zh-CN"/>
        </w:rPr>
        <w:t>第三十一条</w:t>
      </w:r>
      <w:r>
        <w:rPr>
          <w:rFonts w:hint="eastAsia" w:ascii="仿宋" w:hAnsi="仿宋" w:eastAsia="仿宋_GB2312" w:cs="仿宋"/>
          <w:color w:val="000000"/>
          <w:sz w:val="32"/>
          <w:szCs w:val="32"/>
          <w:lang w:val="en-US" w:eastAsia="zh-CN"/>
        </w:rPr>
        <w:t xml:space="preserve">  </w:t>
      </w:r>
      <w:r>
        <w:rPr>
          <w:rFonts w:hint="eastAsia" w:ascii="仿宋_GB2312" w:hAnsi="仿宋_GB2312" w:eastAsia="仿宋_GB2312" w:cs="仿宋_GB2312"/>
          <w:color w:val="000000"/>
          <w:sz w:val="32"/>
          <w:szCs w:val="32"/>
          <w:lang w:val="en-US" w:eastAsia="zh-CN"/>
        </w:rPr>
        <w:t>地方各级人民政府和有关部门应当推动养老机构提高护理型床位设置比例，</w:t>
      </w:r>
      <w:r>
        <w:rPr>
          <w:rFonts w:hint="eastAsia" w:ascii="仿宋_GB2312" w:hAnsi="仿宋_GB2312" w:eastAsia="仿宋_GB2312" w:cs="仿宋_GB2312"/>
          <w:color w:val="000000"/>
          <w:kern w:val="2"/>
          <w:sz w:val="32"/>
          <w:szCs w:val="32"/>
          <w:lang w:val="en-US" w:eastAsia="zh-CN" w:bidi="ar-SA"/>
        </w:rPr>
        <w:t>增设失能、失智老年</w:t>
      </w:r>
      <w:r>
        <w:rPr>
          <w:rFonts w:hint="eastAsia" w:ascii="仿宋_GB2312" w:hAnsi="仿宋_GB2312" w:eastAsia="仿宋_GB2312" w:cs="仿宋_GB2312"/>
          <w:color w:val="000000"/>
          <w:sz w:val="32"/>
          <w:szCs w:val="32"/>
          <w:lang w:val="en-US" w:eastAsia="zh-CN"/>
        </w:rPr>
        <w:t>人照护专区，提升失能、失智老年人照护能力。</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40" w:firstLineChars="200"/>
        <w:textAlignment w:val="auto"/>
        <w:outlineLvl w:val="9"/>
        <w:rPr>
          <w:rFonts w:hint="eastAsia" w:ascii="仿宋_GB2312" w:hAnsi="仿宋_GB2312" w:eastAsia="仿宋_GB2312" w:cs="仿宋_GB2312"/>
          <w:color w:val="000000"/>
          <w:sz w:val="32"/>
          <w:szCs w:val="32"/>
          <w:lang w:val="en-US" w:eastAsia="zh-CN"/>
        </w:rPr>
      </w:pPr>
      <w:r>
        <w:rPr>
          <w:rFonts w:hint="eastAsia" w:ascii="黑体" w:hAnsi="黑体" w:eastAsia="黑体" w:cs="黑体"/>
          <w:sz w:val="32"/>
          <w:szCs w:val="32"/>
          <w:highlight w:val="none"/>
          <w:lang w:val="en-US" w:eastAsia="zh-CN"/>
        </w:rPr>
        <w:t xml:space="preserve">第三十二条  </w:t>
      </w:r>
      <w:r>
        <w:rPr>
          <w:rFonts w:hint="eastAsia" w:ascii="仿宋_GB2312" w:hAnsi="仿宋_GB2312" w:eastAsia="仿宋_GB2312" w:cs="仿宋_GB2312"/>
          <w:color w:val="000000"/>
          <w:sz w:val="32"/>
          <w:szCs w:val="32"/>
          <w:lang w:val="en-US" w:eastAsia="zh-CN"/>
        </w:rPr>
        <w:t>政府投资兴建的养老机构优先确保特困人员集中供养，保障经济困难的失能、失智、孤寡、残疾、高龄等老年人的服务需求。</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40"/>
        <w:textAlignment w:val="auto"/>
        <w:outlineLvl w:val="9"/>
        <w:rPr>
          <w:rFonts w:hint="eastAsia"/>
          <w:lang w:val="en-US" w:eastAsia="zh-CN"/>
        </w:rPr>
      </w:pPr>
      <w:r>
        <w:rPr>
          <w:rFonts w:hint="eastAsia" w:ascii="仿宋_GB2312" w:hAnsi="仿宋_GB2312" w:eastAsia="仿宋_GB2312" w:cs="仿宋_GB2312"/>
          <w:color w:val="000000"/>
          <w:kern w:val="2"/>
          <w:sz w:val="32"/>
          <w:szCs w:val="32"/>
          <w:lang w:val="en-US" w:eastAsia="zh-CN" w:bidi="ar-SA"/>
        </w:rPr>
        <w:t>县级以上地方人民政府应当推进养老机构建设和功能完善，每个县至少有一所护理型养老机构和一所特困供养服务机构。</w:t>
      </w:r>
    </w:p>
    <w:p>
      <w:pPr>
        <w:pStyle w:val="13"/>
        <w:keepNext w:val="0"/>
        <w:keepLines w:val="0"/>
        <w:pageBreakBefore w:val="0"/>
        <w:widowControl w:val="0"/>
        <w:kinsoku/>
        <w:wordWrap/>
        <w:overflowPunct/>
        <w:topLinePunct w:val="0"/>
        <w:autoSpaceDE/>
        <w:autoSpaceDN/>
        <w:bidi w:val="0"/>
        <w:adjustRightInd/>
        <w:snapToGrid/>
        <w:spacing w:after="0" w:afterLines="0" w:line="580" w:lineRule="exact"/>
        <w:ind w:left="0" w:leftChars="0" w:right="0" w:rightChars="0" w:firstLine="640" w:firstLineChars="200"/>
        <w:textAlignment w:val="auto"/>
        <w:outlineLvl w:val="9"/>
        <w:rPr>
          <w:rFonts w:hint="eastAsia" w:ascii="仿宋_GB2312" w:hAnsi="仿宋_GB2312" w:eastAsia="仿宋_GB2312" w:cs="仿宋_GB2312"/>
          <w:color w:val="000000"/>
          <w:kern w:val="2"/>
          <w:sz w:val="32"/>
          <w:szCs w:val="32"/>
          <w:lang w:val="en-US" w:eastAsia="zh-CN" w:bidi="ar-SA"/>
        </w:rPr>
      </w:pPr>
      <w:r>
        <w:rPr>
          <w:rFonts w:hint="eastAsia" w:ascii="黑体" w:hAnsi="黑体" w:eastAsia="黑体" w:cs="黑体"/>
          <w:sz w:val="32"/>
          <w:szCs w:val="32"/>
          <w:highlight w:val="none"/>
          <w:lang w:val="en-US" w:eastAsia="zh-CN"/>
        </w:rPr>
        <w:t>第三十三条</w:t>
      </w:r>
      <w:r>
        <w:rPr>
          <w:rFonts w:hint="eastAsia" w:ascii="黑体" w:hAnsi="黑体" w:eastAsia="黑体" w:cs="黑体"/>
          <w:kern w:val="2"/>
          <w:sz w:val="32"/>
          <w:szCs w:val="32"/>
          <w:highlight w:val="none"/>
          <w:lang w:val="en-US" w:eastAsia="zh-CN" w:bidi="ar-SA"/>
        </w:rPr>
        <w:t xml:space="preserve">  </w:t>
      </w:r>
      <w:r>
        <w:rPr>
          <w:rFonts w:hint="eastAsia" w:ascii="仿宋_GB2312" w:hAnsi="仿宋_GB2312" w:eastAsia="仿宋_GB2312" w:cs="仿宋_GB2312"/>
          <w:color w:val="000000"/>
          <w:kern w:val="2"/>
          <w:sz w:val="32"/>
          <w:szCs w:val="32"/>
          <w:lang w:val="en-US" w:eastAsia="zh-CN" w:bidi="ar-SA"/>
        </w:rPr>
        <w:t>县级以上地方人民政府应当结合乡村振兴采取措施，加强资金支持，增加设施供给，优化服务功能，改善农村养老机构的运营条件；建立城市与农村养老机构对口支援和合作机制，通过人员培训、技术指导、设备支援等方式，提高农村养老机构服务水平。</w:t>
      </w:r>
    </w:p>
    <w:p>
      <w:pPr>
        <w:pStyle w:val="13"/>
        <w:keepNext w:val="0"/>
        <w:keepLines w:val="0"/>
        <w:pageBreakBefore w:val="0"/>
        <w:widowControl w:val="0"/>
        <w:kinsoku/>
        <w:wordWrap/>
        <w:overflowPunct/>
        <w:topLinePunct w:val="0"/>
        <w:autoSpaceDE/>
        <w:autoSpaceDN/>
        <w:bidi w:val="0"/>
        <w:adjustRightInd/>
        <w:snapToGrid/>
        <w:spacing w:after="0" w:afterLines="0" w:line="580" w:lineRule="exact"/>
        <w:ind w:left="0" w:leftChars="0" w:right="0" w:rightChars="0" w:firstLine="640" w:firstLineChars="200"/>
        <w:textAlignment w:val="auto"/>
        <w:outlineLvl w:val="9"/>
        <w:rPr>
          <w:rFonts w:hint="eastAsia" w:ascii="仿宋_GB2312" w:hAnsi="仿宋_GB2312" w:eastAsia="仿宋_GB2312" w:cs="仿宋_GB2312"/>
          <w:color w:val="000000"/>
          <w:kern w:val="2"/>
          <w:sz w:val="32"/>
          <w:szCs w:val="32"/>
          <w:lang w:val="en-US" w:eastAsia="zh-CN" w:bidi="ar-SA"/>
        </w:rPr>
      </w:pPr>
      <w:r>
        <w:rPr>
          <w:rFonts w:hint="eastAsia" w:ascii="仿宋_GB2312" w:hAnsi="仿宋_GB2312" w:eastAsia="仿宋_GB2312" w:cs="仿宋_GB2312"/>
          <w:color w:val="000000"/>
          <w:kern w:val="2"/>
          <w:sz w:val="32"/>
          <w:szCs w:val="32"/>
          <w:lang w:val="en-US" w:eastAsia="zh-CN" w:bidi="ar-SA"/>
        </w:rPr>
        <w:t>支持农村养老机构通过引入社会资本和专业管理服务等形式提升其养老服务能力。鼓励将具备条件的农村特困人员供养设施转型为区域性养老服务设施，向社会开放。</w:t>
      </w:r>
    </w:p>
    <w:p>
      <w:pPr>
        <w:keepNext w:val="0"/>
        <w:keepLines w:val="0"/>
        <w:pageBreakBefore w:val="0"/>
        <w:widowControl w:val="0"/>
        <w:kinsoku/>
        <w:wordWrap/>
        <w:overflowPunct/>
        <w:topLinePunct w:val="0"/>
        <w:autoSpaceDE/>
        <w:autoSpaceDN/>
        <w:bidi w:val="0"/>
        <w:adjustRightInd/>
        <w:snapToGrid/>
        <w:spacing w:before="156" w:beforeLines="50" w:after="156" w:afterLines="50" w:line="580" w:lineRule="exact"/>
        <w:ind w:left="0" w:leftChars="0" w:right="0" w:rightChars="0" w:firstLine="0" w:firstLineChars="0"/>
        <w:jc w:val="center"/>
        <w:textAlignment w:val="auto"/>
        <w:outlineLvl w:val="9"/>
        <w:rPr>
          <w:rFonts w:hint="eastAsia" w:ascii="黑体" w:hAnsi="黑体" w:eastAsia="黑体" w:cs="黑体"/>
          <w:color w:val="000000"/>
          <w:sz w:val="32"/>
          <w:szCs w:val="32"/>
        </w:rPr>
      </w:pPr>
      <w:r>
        <w:rPr>
          <w:rFonts w:hint="eastAsia" w:ascii="黑体" w:hAnsi="黑体" w:eastAsia="黑体" w:cs="黑体"/>
          <w:color w:val="000000"/>
          <w:sz w:val="32"/>
          <w:szCs w:val="32"/>
        </w:rPr>
        <w:t>第五章  医养</w:t>
      </w:r>
      <w:r>
        <w:rPr>
          <w:rFonts w:hint="eastAsia" w:ascii="黑体" w:hAnsi="黑体" w:eastAsia="黑体" w:cs="黑体"/>
          <w:color w:val="000000"/>
          <w:sz w:val="32"/>
          <w:szCs w:val="32"/>
          <w:lang w:eastAsia="zh-CN"/>
        </w:rPr>
        <w:t>康养结</w:t>
      </w:r>
      <w:r>
        <w:rPr>
          <w:rFonts w:hint="eastAsia" w:ascii="黑体" w:hAnsi="黑体" w:eastAsia="黑体" w:cs="黑体"/>
          <w:color w:val="000000"/>
          <w:sz w:val="32"/>
          <w:szCs w:val="32"/>
        </w:rPr>
        <w:t>合</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eastAsia" w:ascii="仿宋_GB2312" w:hAnsi="仿宋_GB2312" w:eastAsia="仿宋_GB2312" w:cs="仿宋_GB2312"/>
          <w:color w:val="000000"/>
          <w:spacing w:val="0"/>
          <w:sz w:val="32"/>
          <w:szCs w:val="32"/>
          <w:lang w:val="en-US" w:eastAsia="zh-CN"/>
        </w:rPr>
      </w:pPr>
      <w:r>
        <w:rPr>
          <w:rFonts w:hint="eastAsia" w:ascii="黑体" w:hAnsi="黑体" w:eastAsia="黑体" w:cs="黑体"/>
          <w:spacing w:val="0"/>
          <w:sz w:val="32"/>
          <w:szCs w:val="32"/>
          <w:highlight w:val="none"/>
          <w:lang w:val="en-US" w:eastAsia="zh-CN"/>
        </w:rPr>
        <w:t>第三十四条</w:t>
      </w:r>
      <w:r>
        <w:rPr>
          <w:rFonts w:hint="eastAsia" w:ascii="仿宋" w:hAnsi="仿宋" w:eastAsia="仿宋_GB2312" w:cs="仿宋"/>
          <w:color w:val="000000"/>
          <w:spacing w:val="0"/>
          <w:sz w:val="32"/>
          <w:szCs w:val="32"/>
        </w:rPr>
        <w:t xml:space="preserve">  </w:t>
      </w:r>
      <w:r>
        <w:rPr>
          <w:rFonts w:hint="eastAsia" w:ascii="仿宋_GB2312" w:hAnsi="仿宋_GB2312" w:eastAsia="仿宋_GB2312" w:cs="仿宋_GB2312"/>
          <w:color w:val="000000"/>
          <w:spacing w:val="0"/>
          <w:sz w:val="32"/>
          <w:szCs w:val="32"/>
          <w:lang w:val="en-US" w:eastAsia="zh-CN"/>
        </w:rPr>
        <w:t>县级以上地方人民政府应当统筹养老服务设施与医疗卫生设施的布局，优先考虑两者邻近设置。</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eastAsia" w:ascii="仿宋_GB2312" w:hAnsi="仿宋_GB2312" w:eastAsia="仿宋_GB2312" w:cs="仿宋_GB2312"/>
          <w:color w:val="000000"/>
          <w:sz w:val="32"/>
          <w:szCs w:val="32"/>
          <w:lang w:val="en-US" w:eastAsia="zh-CN"/>
        </w:rPr>
      </w:pPr>
      <w:r>
        <w:rPr>
          <w:rFonts w:hint="eastAsia" w:ascii="黑体" w:hAnsi="黑体" w:eastAsia="黑体" w:cs="黑体"/>
          <w:sz w:val="32"/>
          <w:szCs w:val="32"/>
          <w:highlight w:val="none"/>
          <w:lang w:val="en-US" w:eastAsia="zh-CN"/>
        </w:rPr>
        <w:t>第三十五条</w:t>
      </w:r>
      <w:r>
        <w:rPr>
          <w:rFonts w:hint="eastAsia" w:ascii="仿宋" w:hAnsi="仿宋" w:eastAsia="仿宋_GB2312" w:cs="仿宋"/>
          <w:color w:val="000000"/>
          <w:sz w:val="32"/>
          <w:szCs w:val="32"/>
          <w:lang w:val="en-US" w:eastAsia="zh-CN"/>
        </w:rPr>
        <w:t xml:space="preserve">  </w:t>
      </w:r>
      <w:r>
        <w:rPr>
          <w:rFonts w:hint="eastAsia" w:ascii="仿宋_GB2312" w:hAnsi="仿宋_GB2312" w:eastAsia="仿宋_GB2312" w:cs="仿宋_GB2312"/>
          <w:color w:val="000000"/>
          <w:sz w:val="32"/>
          <w:szCs w:val="32"/>
          <w:lang w:val="en-US" w:eastAsia="zh-CN"/>
        </w:rPr>
        <w:t>县级以上地方人民政府卫生健康、医疗保障等部门应当推动医疗卫生服务向社区、家庭延伸，鼓励医疗机构上门为老年人提供康复、护理等服务。</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鼓励基层医疗卫生机构为农村居家失能老年人提供上门护理服务，对其家庭成员进行护理指导。</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eastAsia" w:ascii="仿宋_GB2312" w:hAnsi="仿宋_GB2312" w:eastAsia="仿宋_GB2312" w:cs="仿宋_GB2312"/>
          <w:color w:val="000000"/>
          <w:sz w:val="32"/>
          <w:szCs w:val="32"/>
          <w:lang w:val="en-US" w:eastAsia="zh-CN"/>
        </w:rPr>
      </w:pPr>
      <w:r>
        <w:rPr>
          <w:rFonts w:hint="eastAsia" w:ascii="黑体" w:hAnsi="黑体" w:eastAsia="黑体" w:cs="黑体"/>
          <w:sz w:val="32"/>
          <w:szCs w:val="32"/>
          <w:highlight w:val="none"/>
          <w:lang w:val="en-US" w:eastAsia="zh-CN"/>
        </w:rPr>
        <w:t>第三十六条</w:t>
      </w:r>
      <w:r>
        <w:rPr>
          <w:rFonts w:hint="eastAsia" w:ascii="仿宋" w:hAnsi="仿宋" w:eastAsia="仿宋_GB2312" w:cs="仿宋"/>
          <w:color w:val="000000"/>
          <w:sz w:val="32"/>
          <w:szCs w:val="32"/>
        </w:rPr>
        <w:t xml:space="preserve">  </w:t>
      </w:r>
      <w:r>
        <w:rPr>
          <w:rFonts w:hint="eastAsia" w:ascii="仿宋_GB2312" w:hAnsi="仿宋_GB2312" w:eastAsia="仿宋_GB2312" w:cs="仿宋_GB2312"/>
          <w:color w:val="000000"/>
          <w:sz w:val="32"/>
          <w:szCs w:val="32"/>
          <w:lang w:val="en-US" w:eastAsia="zh-CN"/>
        </w:rPr>
        <w:t>县级以上地方人民政府卫生健康、民政等部门应当支持医疗机构与养老服务机构在设施设备、人员、服务等方面开展合作共建。鼓励养老服务机构与医疗卫生机构开展多种形式的签约合作，为入住老年人提供医疗指导、健康管理、保健咨询、预约就诊、送院急诊急救等服务。</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eastAsia" w:ascii="仿宋_GB2312" w:hAnsi="仿宋_GB2312" w:eastAsia="仿宋_GB2312" w:cs="仿宋_GB2312"/>
          <w:color w:val="000000"/>
          <w:sz w:val="32"/>
          <w:szCs w:val="32"/>
          <w:lang w:val="en-US" w:eastAsia="zh-CN"/>
        </w:rPr>
      </w:pPr>
      <w:r>
        <w:rPr>
          <w:rFonts w:hint="eastAsia" w:ascii="黑体" w:hAnsi="黑体" w:eastAsia="黑体" w:cs="黑体"/>
          <w:sz w:val="32"/>
          <w:szCs w:val="32"/>
          <w:highlight w:val="none"/>
          <w:lang w:val="en-US" w:eastAsia="zh-CN"/>
        </w:rPr>
        <w:t>第三十七条</w:t>
      </w:r>
      <w:r>
        <w:rPr>
          <w:rFonts w:hint="eastAsia" w:ascii="仿宋" w:hAnsi="仿宋" w:eastAsia="仿宋_GB2312" w:cs="仿宋"/>
          <w:color w:val="000000"/>
          <w:sz w:val="32"/>
          <w:szCs w:val="32"/>
        </w:rPr>
        <w:t xml:space="preserve">  </w:t>
      </w:r>
      <w:r>
        <w:rPr>
          <w:rFonts w:hint="eastAsia" w:ascii="仿宋_GB2312" w:hAnsi="仿宋_GB2312" w:eastAsia="仿宋_GB2312" w:cs="仿宋_GB2312"/>
          <w:color w:val="000000"/>
          <w:sz w:val="32"/>
          <w:szCs w:val="32"/>
          <w:lang w:val="en-US" w:eastAsia="zh-CN"/>
        </w:rPr>
        <w:t>县级以上地方人民政府及其有关部门应当支持养老服务机构根据服务需求和自身能力设立医疗机构，符合条件的按照规定纳入基本医疗保险定点范围。</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支持养老服务机构内设的医疗机构纳入医疗联合体管理，与医疗联合体内的牵头医院、康复医院、护理院（中心、站）等建立双向转诊机制，实现资源共享、服务衔接。</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eastAsia" w:ascii="仿宋_GB2312" w:hAnsi="仿宋_GB2312" w:eastAsia="仿宋_GB2312" w:cs="仿宋_GB2312"/>
          <w:color w:val="000000"/>
          <w:sz w:val="32"/>
          <w:szCs w:val="32"/>
          <w:lang w:val="en-US" w:eastAsia="zh-CN"/>
        </w:rPr>
      </w:pPr>
      <w:r>
        <w:rPr>
          <w:rFonts w:hint="eastAsia" w:ascii="黑体" w:hAnsi="黑体" w:eastAsia="黑体" w:cs="黑体"/>
          <w:sz w:val="32"/>
          <w:szCs w:val="32"/>
          <w:highlight w:val="none"/>
          <w:lang w:val="en-US" w:eastAsia="zh-CN"/>
        </w:rPr>
        <w:t>第三十八条</w:t>
      </w:r>
      <w:r>
        <w:rPr>
          <w:rFonts w:hint="eastAsia" w:ascii="仿宋" w:hAnsi="仿宋" w:eastAsia="仿宋_GB2312" w:cs="仿宋"/>
          <w:color w:val="000000"/>
          <w:sz w:val="32"/>
          <w:szCs w:val="32"/>
          <w:highlight w:val="none"/>
        </w:rPr>
        <w:t xml:space="preserve">  </w:t>
      </w:r>
      <w:r>
        <w:rPr>
          <w:rFonts w:hint="eastAsia" w:ascii="仿宋_GB2312" w:hAnsi="仿宋_GB2312" w:eastAsia="仿宋_GB2312" w:cs="仿宋_GB2312"/>
          <w:color w:val="000000"/>
          <w:sz w:val="32"/>
          <w:szCs w:val="32"/>
          <w:lang w:val="en-US" w:eastAsia="zh-CN"/>
        </w:rPr>
        <w:t>从业于养老服务机构的执业医师、护士等专业技术人员，在执业资格、注册考核、职称评定、继续教育等方面，与医疗卫生机构同类专业技术人员享受同等政策待遇。</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eastAsia" w:ascii="仿宋_GB2312" w:hAnsi="仿宋_GB2312" w:eastAsia="仿宋_GB2312" w:cs="仿宋_GB2312"/>
          <w:color w:val="000000"/>
          <w:sz w:val="32"/>
          <w:szCs w:val="32"/>
          <w:lang w:val="en-US" w:eastAsia="zh-CN"/>
        </w:rPr>
      </w:pPr>
      <w:r>
        <w:rPr>
          <w:rFonts w:hint="eastAsia" w:ascii="黑体" w:hAnsi="黑体" w:eastAsia="黑体" w:cs="黑体"/>
          <w:sz w:val="32"/>
          <w:szCs w:val="32"/>
          <w:highlight w:val="none"/>
          <w:lang w:val="en-US" w:eastAsia="zh-CN"/>
        </w:rPr>
        <w:t>第三十九条</w:t>
      </w:r>
      <w:r>
        <w:rPr>
          <w:rFonts w:hint="eastAsia" w:ascii="仿宋" w:hAnsi="仿宋" w:eastAsia="仿宋_GB2312" w:cs="仿宋"/>
          <w:color w:val="000000"/>
          <w:sz w:val="32"/>
          <w:szCs w:val="32"/>
        </w:rPr>
        <w:t xml:space="preserve">  </w:t>
      </w:r>
      <w:r>
        <w:rPr>
          <w:rFonts w:hint="eastAsia" w:ascii="仿宋_GB2312" w:hAnsi="仿宋_GB2312" w:eastAsia="仿宋_GB2312" w:cs="仿宋_GB2312"/>
          <w:color w:val="000000"/>
          <w:sz w:val="32"/>
          <w:szCs w:val="32"/>
          <w:lang w:val="en-US" w:eastAsia="zh-CN"/>
        </w:rPr>
        <w:t>县级以上地方人民政府卫生健康、民政等部门应当支持医疗资源丰富地区的二级及以下医疗机构转型，为老年人提供康复护理、医疗保障和医养结合等服务。</w:t>
      </w:r>
    </w:p>
    <w:p>
      <w:pPr>
        <w:pStyle w:val="13"/>
        <w:keepNext w:val="0"/>
        <w:keepLines w:val="0"/>
        <w:pageBreakBefore w:val="0"/>
        <w:widowControl w:val="0"/>
        <w:kinsoku/>
        <w:wordWrap/>
        <w:overflowPunct/>
        <w:topLinePunct w:val="0"/>
        <w:autoSpaceDE/>
        <w:autoSpaceDN/>
        <w:bidi w:val="0"/>
        <w:adjustRightInd/>
        <w:snapToGrid/>
        <w:spacing w:after="0" w:afterLines="0" w:line="560" w:lineRule="exact"/>
        <w:ind w:left="0" w:leftChars="0" w:right="0" w:rightChars="0" w:firstLine="640" w:firstLineChars="200"/>
        <w:textAlignment w:val="auto"/>
        <w:outlineLvl w:val="9"/>
        <w:rPr>
          <w:rFonts w:hint="eastAsia" w:ascii="仿宋_GB2312" w:hAnsi="仿宋_GB2312" w:eastAsia="仿宋_GB2312" w:cs="仿宋_GB2312"/>
          <w:color w:val="000000"/>
          <w:kern w:val="2"/>
          <w:sz w:val="32"/>
          <w:szCs w:val="32"/>
          <w:lang w:val="en-US" w:eastAsia="zh-CN" w:bidi="ar-SA"/>
        </w:rPr>
      </w:pPr>
      <w:r>
        <w:rPr>
          <w:rFonts w:hint="eastAsia" w:ascii="黑体" w:hAnsi="黑体" w:eastAsia="黑体" w:cs="黑体"/>
          <w:sz w:val="32"/>
          <w:szCs w:val="32"/>
          <w:highlight w:val="none"/>
          <w:lang w:val="en-US" w:eastAsia="zh-CN"/>
        </w:rPr>
        <w:t>第四十条</w:t>
      </w:r>
      <w:r>
        <w:rPr>
          <w:rFonts w:hint="eastAsia" w:ascii="黑体" w:hAnsi="黑体" w:eastAsia="黑体" w:cs="黑体"/>
          <w:color w:val="000000"/>
          <w:kern w:val="2"/>
          <w:sz w:val="32"/>
          <w:szCs w:val="32"/>
          <w:lang w:val="en-US" w:eastAsia="zh-CN" w:bidi="ar-SA"/>
        </w:rPr>
        <w:t xml:space="preserve">  </w:t>
      </w:r>
      <w:r>
        <w:rPr>
          <w:rFonts w:hint="eastAsia" w:ascii="仿宋_GB2312" w:hAnsi="仿宋_GB2312" w:eastAsia="仿宋_GB2312" w:cs="仿宋_GB2312"/>
          <w:color w:val="000000"/>
          <w:kern w:val="2"/>
          <w:sz w:val="32"/>
          <w:szCs w:val="32"/>
          <w:lang w:val="en-US" w:eastAsia="zh-CN" w:bidi="ar-SA"/>
        </w:rPr>
        <w:t>医疗卫生机构应当为老年人就医提供引导等便</w:t>
      </w:r>
      <w:r>
        <w:rPr>
          <w:rFonts w:hint="eastAsia" w:ascii="仿宋_GB2312" w:hAnsi="仿宋_GB2312" w:eastAsia="仿宋_GB2312" w:cs="仿宋_GB2312"/>
          <w:color w:val="000000"/>
          <w:spacing w:val="-6"/>
          <w:kern w:val="2"/>
          <w:sz w:val="32"/>
          <w:szCs w:val="32"/>
          <w:lang w:val="en-US" w:eastAsia="zh-CN" w:bidi="ar-SA"/>
        </w:rPr>
        <w:t>利，设置专门窗口或者优先窗口等绿色通道，全过程实施助老服务。</w:t>
      </w:r>
    </w:p>
    <w:p>
      <w:pPr>
        <w:pStyle w:val="13"/>
        <w:keepNext w:val="0"/>
        <w:keepLines w:val="0"/>
        <w:pageBreakBefore w:val="0"/>
        <w:widowControl w:val="0"/>
        <w:kinsoku/>
        <w:wordWrap/>
        <w:overflowPunct/>
        <w:topLinePunct w:val="0"/>
        <w:autoSpaceDE/>
        <w:autoSpaceDN/>
        <w:bidi w:val="0"/>
        <w:adjustRightInd/>
        <w:snapToGrid/>
        <w:spacing w:after="0" w:afterLines="0" w:line="560" w:lineRule="exact"/>
        <w:ind w:left="0" w:leftChars="0" w:right="0" w:rightChars="0" w:firstLine="640" w:firstLineChars="200"/>
        <w:textAlignment w:val="auto"/>
        <w:outlineLvl w:val="9"/>
        <w:rPr>
          <w:rFonts w:hint="eastAsia" w:ascii="仿宋_GB2312" w:hAnsi="仿宋_GB2312" w:eastAsia="仿宋_GB2312" w:cs="仿宋_GB2312"/>
          <w:color w:val="000000"/>
          <w:kern w:val="2"/>
          <w:sz w:val="32"/>
          <w:szCs w:val="32"/>
          <w:lang w:val="en-US" w:eastAsia="zh-CN" w:bidi="ar-SA"/>
        </w:rPr>
      </w:pPr>
      <w:r>
        <w:rPr>
          <w:rFonts w:hint="eastAsia" w:ascii="仿宋_GB2312" w:hAnsi="仿宋_GB2312" w:eastAsia="仿宋_GB2312" w:cs="仿宋_GB2312"/>
          <w:color w:val="000000"/>
          <w:kern w:val="2"/>
          <w:sz w:val="32"/>
          <w:szCs w:val="32"/>
          <w:lang w:val="en-US" w:eastAsia="zh-CN" w:bidi="ar-SA"/>
        </w:rPr>
        <w:t>支持建设老年医院，提供综合、专业的就医服务，发挥示范引领作用。有条件的医疗机构应当开设老年病门诊、老年医学科和安宁疗护科。支持建设康复医院、护理院（中心、站）和安宁疗护机构等。</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eastAsia" w:ascii="仿宋_GB2312" w:hAnsi="仿宋_GB2312" w:eastAsia="仿宋_GB2312" w:cs="仿宋_GB2312"/>
          <w:color w:val="000000"/>
          <w:sz w:val="32"/>
          <w:szCs w:val="32"/>
          <w:lang w:val="en-US" w:eastAsia="zh-CN"/>
        </w:rPr>
      </w:pPr>
      <w:r>
        <w:rPr>
          <w:rFonts w:hint="eastAsia" w:ascii="黑体" w:hAnsi="黑体" w:eastAsia="黑体" w:cs="黑体"/>
          <w:sz w:val="32"/>
          <w:szCs w:val="32"/>
          <w:highlight w:val="none"/>
          <w:lang w:val="en-US" w:eastAsia="zh-CN"/>
        </w:rPr>
        <w:t>第四十一条</w:t>
      </w:r>
      <w:r>
        <w:rPr>
          <w:rFonts w:hint="eastAsia" w:ascii="仿宋" w:hAnsi="仿宋" w:eastAsia="仿宋_GB2312" w:cs="仿宋"/>
          <w:color w:val="000000"/>
          <w:sz w:val="32"/>
          <w:szCs w:val="32"/>
        </w:rPr>
        <w:t xml:space="preserve">  </w:t>
      </w:r>
      <w:r>
        <w:rPr>
          <w:rFonts w:hint="eastAsia" w:ascii="仿宋_GB2312" w:hAnsi="仿宋_GB2312" w:eastAsia="仿宋_GB2312" w:cs="仿宋_GB2312"/>
          <w:color w:val="000000"/>
          <w:sz w:val="32"/>
          <w:szCs w:val="32"/>
          <w:lang w:val="en-US" w:eastAsia="zh-CN"/>
        </w:rPr>
        <w:t>县级以上地方人民政府及其有关部门应当支持有条件的医疗卫生机构在老年人家中或者养老服务机构设立家庭病床，为符合条件的老年人提供医疗护理服务，并按规定逐步扩大医保支付范围，提升医保支付标准。</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eastAsia" w:ascii="仿宋_GB2312" w:hAnsi="仿宋_GB2312" w:eastAsia="仿宋_GB2312" w:cs="仿宋_GB2312"/>
          <w:color w:val="000000"/>
          <w:sz w:val="32"/>
          <w:szCs w:val="32"/>
          <w:lang w:val="en-US" w:eastAsia="zh-CN"/>
        </w:rPr>
      </w:pPr>
      <w:r>
        <w:rPr>
          <w:rFonts w:hint="eastAsia" w:ascii="黑体" w:hAnsi="黑体" w:eastAsia="黑体" w:cs="黑体"/>
          <w:sz w:val="32"/>
          <w:szCs w:val="32"/>
          <w:highlight w:val="none"/>
          <w:lang w:val="en-US" w:eastAsia="zh-CN"/>
        </w:rPr>
        <w:t>第四十二条</w:t>
      </w:r>
      <w:r>
        <w:rPr>
          <w:rFonts w:hint="eastAsia" w:ascii="仿宋" w:hAnsi="仿宋" w:eastAsia="仿宋_GB2312" w:cs="仿宋"/>
          <w:color w:val="000000"/>
          <w:sz w:val="32"/>
          <w:szCs w:val="32"/>
        </w:rPr>
        <w:t xml:space="preserve">  </w:t>
      </w:r>
      <w:r>
        <w:rPr>
          <w:rFonts w:hint="eastAsia" w:ascii="仿宋_GB2312" w:hAnsi="仿宋_GB2312" w:eastAsia="仿宋_GB2312" w:cs="仿宋_GB2312"/>
          <w:color w:val="000000"/>
          <w:sz w:val="32"/>
          <w:szCs w:val="32"/>
          <w:lang w:val="en-US" w:eastAsia="zh-CN"/>
        </w:rPr>
        <w:t>县级以上地方人民政府应当按照国家要求稳步建立长期护理保险制度，合理确定保障范围和待遇标准，为符合条件的老年人提供基本护理保障。</w:t>
      </w:r>
    </w:p>
    <w:p>
      <w:pPr>
        <w:pStyle w:val="13"/>
        <w:keepNext w:val="0"/>
        <w:keepLines w:val="0"/>
        <w:pageBreakBefore w:val="0"/>
        <w:widowControl w:val="0"/>
        <w:kinsoku/>
        <w:wordWrap/>
        <w:overflowPunct/>
        <w:topLinePunct w:val="0"/>
        <w:autoSpaceDE/>
        <w:autoSpaceDN/>
        <w:bidi w:val="0"/>
        <w:adjustRightInd/>
        <w:snapToGrid/>
        <w:spacing w:after="0" w:afterLines="0" w:line="560" w:lineRule="exact"/>
        <w:ind w:left="0" w:leftChars="0" w:right="0" w:rightChars="0" w:firstLine="640" w:firstLineChars="200"/>
        <w:textAlignment w:val="auto"/>
        <w:outlineLvl w:val="9"/>
        <w:rPr>
          <w:rFonts w:hint="eastAsia" w:ascii="仿宋_GB2312" w:hAnsi="仿宋_GB2312" w:eastAsia="仿宋_GB2312" w:cs="仿宋_GB2312"/>
          <w:color w:val="000000"/>
          <w:kern w:val="2"/>
          <w:sz w:val="32"/>
          <w:szCs w:val="32"/>
          <w:lang w:val="en-US" w:eastAsia="zh-CN" w:bidi="ar-SA"/>
        </w:rPr>
      </w:pPr>
      <w:r>
        <w:rPr>
          <w:rFonts w:hint="eastAsia" w:ascii="黑体" w:hAnsi="黑体" w:eastAsia="黑体" w:cs="黑体"/>
          <w:sz w:val="32"/>
          <w:szCs w:val="32"/>
          <w:highlight w:val="none"/>
          <w:lang w:val="en-US" w:eastAsia="zh-CN"/>
        </w:rPr>
        <w:t>第四十三条</w:t>
      </w:r>
      <w:r>
        <w:rPr>
          <w:rFonts w:hint="eastAsia" w:ascii="仿宋" w:hAnsi="仿宋" w:eastAsia="仿宋_GB2312" w:cs="仿宋"/>
          <w:color w:val="000000"/>
          <w:sz w:val="32"/>
          <w:szCs w:val="32"/>
        </w:rPr>
        <w:t xml:space="preserve">  </w:t>
      </w:r>
      <w:r>
        <w:rPr>
          <w:rFonts w:hint="eastAsia" w:ascii="仿宋_GB2312" w:hAnsi="仿宋_GB2312" w:eastAsia="仿宋_GB2312" w:cs="仿宋_GB2312"/>
          <w:color w:val="000000"/>
          <w:kern w:val="2"/>
          <w:sz w:val="32"/>
          <w:szCs w:val="32"/>
          <w:lang w:val="en-US" w:eastAsia="zh-CN" w:bidi="ar-SA"/>
        </w:rPr>
        <w:t>县级以上地方人民政府卫生健康部门应当发挥中医药在健康养老中的作用，开展老年人养生保健、医疗护理、康复服务，将中医诊疗、中医治未病、中医康复融入健康养老全过程，并按规定扩大医保支付范围。</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eastAsia" w:ascii="仿宋_GB2312" w:hAnsi="仿宋_GB2312" w:eastAsia="仿宋_GB2312" w:cs="仿宋_GB2312"/>
          <w:color w:val="000000"/>
          <w:sz w:val="32"/>
          <w:szCs w:val="32"/>
          <w:lang w:val="en-US" w:eastAsia="zh-CN"/>
        </w:rPr>
      </w:pPr>
      <w:r>
        <w:rPr>
          <w:rFonts w:hint="eastAsia" w:ascii="黑体" w:hAnsi="黑体" w:eastAsia="黑体" w:cs="黑体"/>
          <w:kern w:val="1"/>
          <w:sz w:val="32"/>
          <w:szCs w:val="32"/>
          <w:highlight w:val="none"/>
          <w:lang w:val="en-US" w:eastAsia="zh-CN" w:bidi="ar-SA"/>
        </w:rPr>
        <w:t>第四十四条</w:t>
      </w:r>
      <w:r>
        <w:rPr>
          <w:rFonts w:hint="eastAsia" w:ascii="黑体" w:hAnsi="黑体" w:eastAsia="黑体" w:cs="黑体"/>
          <w:sz w:val="32"/>
          <w:szCs w:val="32"/>
          <w:highlight w:val="none"/>
          <w:lang w:val="en-US" w:eastAsia="zh-CN"/>
        </w:rPr>
        <w:t xml:space="preserve">  </w:t>
      </w:r>
      <w:r>
        <w:rPr>
          <w:rFonts w:hint="eastAsia" w:ascii="仿宋_GB2312" w:hAnsi="仿宋_GB2312" w:eastAsia="仿宋_GB2312" w:cs="仿宋_GB2312"/>
          <w:color w:val="000000"/>
          <w:sz w:val="32"/>
          <w:szCs w:val="32"/>
          <w:lang w:val="en-US" w:eastAsia="zh-CN"/>
        </w:rPr>
        <w:t>县级以上地方人民政府应当为老年人建立健康档案，完善老年人家庭医生签约服务制度，依托医疗卫生机构、养老服务机构以及其他社会专业机构，积极开展老年人能力综合评估、认知障碍干预、意外伤害预防、心理健康与关怀等健康促进活动。</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承担基本公共卫生服务的基层医疗卫生机构，应当为老年人提供定期免费体检、疾病预防、健康评估、医疗咨询、健康教育等服务，所需经费纳入政府财政预算。有条件的地方可以为老年人免费接种流感、肺炎等疫苗。</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eastAsia" w:ascii="仿宋_GB2312" w:hAnsi="仿宋_GB2312" w:eastAsia="仿宋_GB2312" w:cs="仿宋_GB2312"/>
          <w:color w:val="000000"/>
          <w:sz w:val="32"/>
          <w:szCs w:val="32"/>
          <w:lang w:val="en-US" w:eastAsia="zh-CN"/>
        </w:rPr>
      </w:pPr>
      <w:r>
        <w:rPr>
          <w:rFonts w:hint="eastAsia" w:ascii="黑体" w:hAnsi="黑体" w:eastAsia="黑体" w:cs="黑体"/>
          <w:sz w:val="32"/>
          <w:szCs w:val="32"/>
          <w:highlight w:val="none"/>
          <w:lang w:val="en-US" w:eastAsia="zh-CN"/>
        </w:rPr>
        <w:t>第四十五条</w:t>
      </w:r>
      <w:r>
        <w:rPr>
          <w:rFonts w:hint="eastAsia" w:ascii="黑体" w:hAnsi="黑体" w:eastAsia="黑体" w:cs="黑体"/>
          <w:color w:val="000000"/>
          <w:sz w:val="32"/>
          <w:szCs w:val="32"/>
        </w:rPr>
        <w:t xml:space="preserve"> </w:t>
      </w:r>
      <w:r>
        <w:rPr>
          <w:rFonts w:hint="eastAsia" w:ascii="仿宋" w:hAnsi="仿宋" w:eastAsia="仿宋_GB2312" w:cs="仿宋"/>
          <w:color w:val="000000"/>
          <w:sz w:val="32"/>
          <w:szCs w:val="32"/>
        </w:rPr>
        <w:t xml:space="preserve"> </w:t>
      </w:r>
      <w:r>
        <w:rPr>
          <w:rFonts w:hint="eastAsia" w:ascii="仿宋_GB2312" w:hAnsi="仿宋_GB2312" w:eastAsia="仿宋_GB2312" w:cs="仿宋_GB2312"/>
          <w:color w:val="000000"/>
          <w:sz w:val="32"/>
          <w:szCs w:val="32"/>
          <w:lang w:val="en-US" w:eastAsia="zh-CN"/>
        </w:rPr>
        <w:t>县级以上地方人民政府及其有关部门应当支持康养产业发展，依托生态资源优势，鼓励开发以大健康产业为核心，集医疗、健康、养生、养老、教育、休闲、旅游等功能为一体的康养项目，探索旅居养老、分时度假养老等新业态，促进养老服务高质量发展，满足老年人多层次、多样化、个性化的养老服务需求。</w:t>
      </w:r>
    </w:p>
    <w:p>
      <w:pPr>
        <w:keepNext w:val="0"/>
        <w:keepLines w:val="0"/>
        <w:pageBreakBefore w:val="0"/>
        <w:widowControl w:val="0"/>
        <w:kinsoku/>
        <w:wordWrap/>
        <w:overflowPunct/>
        <w:topLinePunct w:val="0"/>
        <w:autoSpaceDE/>
        <w:autoSpaceDN/>
        <w:bidi w:val="0"/>
        <w:adjustRightInd/>
        <w:snapToGrid/>
        <w:spacing w:before="156" w:beforeLines="50" w:after="156" w:afterLines="50" w:line="560" w:lineRule="exact"/>
        <w:ind w:left="0" w:leftChars="0" w:right="0" w:rightChars="0" w:firstLine="0" w:firstLineChars="0"/>
        <w:jc w:val="center"/>
        <w:textAlignment w:val="auto"/>
        <w:outlineLvl w:val="9"/>
        <w:rPr>
          <w:rFonts w:hint="eastAsia" w:ascii="黑体" w:hAnsi="黑体" w:eastAsia="黑体" w:cs="黑体"/>
          <w:color w:val="000000"/>
          <w:sz w:val="32"/>
          <w:szCs w:val="32"/>
        </w:rPr>
      </w:pPr>
      <w:r>
        <w:rPr>
          <w:rFonts w:hint="eastAsia" w:ascii="黑体" w:hAnsi="黑体" w:eastAsia="黑体" w:cs="黑体"/>
          <w:color w:val="000000"/>
          <w:sz w:val="32"/>
          <w:szCs w:val="32"/>
        </w:rPr>
        <w:t>第六章  养老服务人员</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eastAsia" w:ascii="仿宋_GB2312" w:hAnsi="仿宋_GB2312" w:eastAsia="仿宋_GB2312" w:cs="仿宋_GB2312"/>
          <w:color w:val="000000"/>
          <w:sz w:val="32"/>
          <w:szCs w:val="32"/>
          <w:lang w:val="en-US" w:eastAsia="zh-CN"/>
        </w:rPr>
      </w:pPr>
      <w:r>
        <w:rPr>
          <w:rFonts w:hint="eastAsia" w:ascii="黑体" w:hAnsi="黑体" w:eastAsia="黑体" w:cs="黑体"/>
          <w:sz w:val="32"/>
          <w:szCs w:val="32"/>
          <w:highlight w:val="none"/>
          <w:lang w:val="en-US" w:eastAsia="zh-CN"/>
        </w:rPr>
        <w:t xml:space="preserve">第四十六条  </w:t>
      </w:r>
      <w:r>
        <w:rPr>
          <w:rFonts w:hint="eastAsia" w:ascii="仿宋_GB2312" w:hAnsi="仿宋_GB2312" w:eastAsia="仿宋_GB2312" w:cs="仿宋_GB2312"/>
          <w:color w:val="000000"/>
          <w:sz w:val="32"/>
          <w:szCs w:val="32"/>
          <w:lang w:val="en-US" w:eastAsia="zh-CN"/>
        </w:rPr>
        <w:t>县级以上地方人民政府民政、人力资源和社会保障等部门应当建立健全养老服务人员管理、使用、评价机制，加强对从业人员的管理，并为养老服务机构招聘人员提供信息服务及查询便利。</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养老服务机构应当配备道德品行、健康状况、职业能力与养老服务相适应的人员从事养老服务工作。</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养老服务从业人员应当向养老服务机构如实告知本人的从业经历、服务技能、健康状况等情况。</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eastAsia" w:ascii="仿宋_GB2312" w:hAnsi="仿宋_GB2312" w:eastAsia="仿宋_GB2312" w:cs="仿宋_GB2312"/>
          <w:color w:val="000000"/>
          <w:sz w:val="32"/>
          <w:szCs w:val="32"/>
          <w:lang w:val="en-US" w:eastAsia="zh-CN"/>
        </w:rPr>
      </w:pPr>
      <w:r>
        <w:rPr>
          <w:rFonts w:hint="eastAsia" w:ascii="黑体" w:hAnsi="黑体" w:eastAsia="黑体" w:cs="黑体"/>
          <w:sz w:val="32"/>
          <w:szCs w:val="32"/>
          <w:highlight w:val="none"/>
          <w:lang w:val="en-US" w:eastAsia="zh-CN"/>
        </w:rPr>
        <w:t>第四十七条</w:t>
      </w:r>
      <w:r>
        <w:rPr>
          <w:rFonts w:hint="eastAsia" w:ascii="仿宋" w:hAnsi="仿宋" w:eastAsia="仿宋_GB2312" w:cs="仿宋"/>
          <w:color w:val="000000"/>
          <w:sz w:val="32"/>
          <w:szCs w:val="32"/>
        </w:rPr>
        <w:t xml:space="preserve">  </w:t>
      </w:r>
      <w:r>
        <w:rPr>
          <w:rFonts w:hint="eastAsia" w:ascii="仿宋_GB2312" w:hAnsi="仿宋_GB2312" w:eastAsia="仿宋_GB2312" w:cs="仿宋_GB2312"/>
          <w:color w:val="000000"/>
          <w:sz w:val="32"/>
          <w:szCs w:val="32"/>
          <w:lang w:val="en-US" w:eastAsia="zh-CN"/>
        </w:rPr>
        <w:t>省人民政府人力资源和社会保障、民政部门应当组织制定养老护理员职业规范，实施职业技能等级认定，提高养老护理员服务水平。</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县级以上地方人民政府应当综合考虑工作年限、技能等级等因素，建立养老护理员薪酬等级体系，制定养老护理员基本工资分级指导标准，引导养老服务机构予以落实。</w:t>
      </w:r>
    </w:p>
    <w:p>
      <w:pPr>
        <w:pStyle w:val="2"/>
        <w:keepNext w:val="0"/>
        <w:keepLines w:val="0"/>
        <w:pageBreakBefore w:val="0"/>
        <w:widowControl w:val="0"/>
        <w:kinsoku/>
        <w:wordWrap/>
        <w:overflowPunct/>
        <w:topLinePunct w:val="0"/>
        <w:bidi w:val="0"/>
        <w:snapToGrid/>
        <w:spacing w:line="560" w:lineRule="exact"/>
        <w:ind w:left="0" w:leftChars="0" w:right="0" w:rightChars="0" w:firstLine="640"/>
        <w:jc w:val="both"/>
        <w:textAlignment w:val="auto"/>
        <w:outlineLvl w:val="9"/>
        <w:rPr>
          <w:rFonts w:hint="eastAsia" w:ascii="仿宋_GB2312" w:hAnsi="仿宋_GB2312" w:eastAsia="仿宋_GB2312" w:cs="仿宋_GB2312"/>
          <w:color w:val="000000"/>
          <w:kern w:val="2"/>
          <w:sz w:val="32"/>
          <w:szCs w:val="32"/>
          <w:lang w:val="en-US" w:eastAsia="zh-CN" w:bidi="ar-SA"/>
        </w:rPr>
      </w:pPr>
      <w:r>
        <w:rPr>
          <w:rFonts w:hint="eastAsia" w:ascii="黑体" w:hAnsi="黑体" w:eastAsia="黑体" w:cs="黑体"/>
          <w:kern w:val="2"/>
          <w:sz w:val="32"/>
          <w:szCs w:val="32"/>
          <w:highlight w:val="none"/>
          <w:lang w:val="en-US" w:eastAsia="zh-CN" w:bidi="ar-SA"/>
        </w:rPr>
        <w:t>第四十八条</w:t>
      </w:r>
      <w:r>
        <w:rPr>
          <w:rFonts w:hint="eastAsia" w:ascii="黑体" w:hAnsi="黑体" w:eastAsia="黑体" w:cs="黑体"/>
          <w:sz w:val="32"/>
          <w:szCs w:val="32"/>
          <w:highlight w:val="none"/>
          <w:lang w:val="en-US" w:eastAsia="zh-CN"/>
        </w:rPr>
        <w:t xml:space="preserve">  </w:t>
      </w:r>
      <w:r>
        <w:rPr>
          <w:rFonts w:hint="eastAsia" w:ascii="仿宋_GB2312" w:hAnsi="仿宋_GB2312" w:eastAsia="仿宋_GB2312" w:cs="仿宋_GB2312"/>
          <w:color w:val="000000"/>
          <w:kern w:val="2"/>
          <w:sz w:val="32"/>
          <w:szCs w:val="32"/>
          <w:lang w:val="en-US" w:eastAsia="zh-CN" w:bidi="ar-SA"/>
        </w:rPr>
        <w:t>县级以上地方人民政府卫生健康、商务、人力资源和社会保障等部门应当制定医疗护理员、家庭服务员的服务标准，加强对医疗机构、家庭服务机构、劳务派遣机构等的监督管理。</w:t>
      </w:r>
    </w:p>
    <w:p>
      <w:pPr>
        <w:pStyle w:val="2"/>
        <w:keepNext w:val="0"/>
        <w:keepLines w:val="0"/>
        <w:pageBreakBefore w:val="0"/>
        <w:widowControl w:val="0"/>
        <w:kinsoku/>
        <w:wordWrap/>
        <w:overflowPunct/>
        <w:topLinePunct w:val="0"/>
        <w:bidi w:val="0"/>
        <w:snapToGrid/>
        <w:spacing w:line="560" w:lineRule="exact"/>
        <w:ind w:left="0" w:leftChars="0" w:right="0" w:rightChars="0" w:firstLine="640"/>
        <w:jc w:val="both"/>
        <w:textAlignment w:val="auto"/>
        <w:outlineLvl w:val="9"/>
        <w:rPr>
          <w:rFonts w:hint="eastAsia" w:ascii="仿宋_GB2312" w:hAnsi="仿宋_GB2312" w:eastAsia="仿宋_GB2312" w:cs="仿宋_GB2312"/>
          <w:color w:val="000000"/>
          <w:kern w:val="2"/>
          <w:sz w:val="32"/>
          <w:szCs w:val="32"/>
          <w:lang w:val="en-US" w:eastAsia="zh-CN" w:bidi="ar-SA"/>
        </w:rPr>
      </w:pPr>
      <w:r>
        <w:rPr>
          <w:rFonts w:hint="eastAsia" w:ascii="仿宋_GB2312" w:hAnsi="仿宋_GB2312" w:eastAsia="仿宋_GB2312" w:cs="仿宋_GB2312"/>
          <w:color w:val="000000"/>
          <w:kern w:val="2"/>
          <w:sz w:val="32"/>
          <w:szCs w:val="32"/>
          <w:lang w:val="en-US" w:eastAsia="zh-CN" w:bidi="ar-SA"/>
        </w:rPr>
        <w:t>医疗机构应当使用经过规范化培训的医疗护理员，依法签订合同，明确医疗护理员的工作职责、操作规范和职业守则。</w:t>
      </w:r>
    </w:p>
    <w:p>
      <w:pPr>
        <w:pStyle w:val="2"/>
        <w:keepNext w:val="0"/>
        <w:keepLines w:val="0"/>
        <w:pageBreakBefore w:val="0"/>
        <w:widowControl w:val="0"/>
        <w:kinsoku/>
        <w:wordWrap/>
        <w:overflowPunct/>
        <w:topLinePunct w:val="0"/>
        <w:bidi w:val="0"/>
        <w:snapToGrid/>
        <w:spacing w:line="560" w:lineRule="exact"/>
        <w:ind w:left="0" w:leftChars="0" w:right="0" w:rightChars="0" w:firstLine="640"/>
        <w:jc w:val="both"/>
        <w:textAlignment w:val="auto"/>
        <w:outlineLvl w:val="9"/>
        <w:rPr>
          <w:rFonts w:hint="eastAsia" w:ascii="仿宋_GB2312" w:hAnsi="仿宋_GB2312" w:eastAsia="仿宋_GB2312" w:cs="仿宋_GB2312"/>
          <w:color w:val="000000"/>
          <w:kern w:val="2"/>
          <w:sz w:val="32"/>
          <w:szCs w:val="32"/>
          <w:lang w:val="en-US" w:eastAsia="zh-CN" w:bidi="ar-SA"/>
        </w:rPr>
      </w:pPr>
      <w:r>
        <w:rPr>
          <w:rFonts w:hint="eastAsia" w:ascii="仿宋_GB2312" w:hAnsi="仿宋_GB2312" w:eastAsia="仿宋_GB2312" w:cs="仿宋_GB2312"/>
          <w:color w:val="000000"/>
          <w:kern w:val="2"/>
          <w:sz w:val="32"/>
          <w:szCs w:val="32"/>
          <w:lang w:val="en-US" w:eastAsia="zh-CN" w:bidi="ar-SA"/>
        </w:rPr>
        <w:t>家庭服务机构应当建立家庭服务员工作档案，建立服务质量跟踪管理制度。</w:t>
      </w:r>
    </w:p>
    <w:p>
      <w:pPr>
        <w:pStyle w:val="2"/>
        <w:keepNext w:val="0"/>
        <w:keepLines w:val="0"/>
        <w:pageBreakBefore w:val="0"/>
        <w:widowControl w:val="0"/>
        <w:kinsoku/>
        <w:wordWrap/>
        <w:overflowPunct/>
        <w:topLinePunct w:val="0"/>
        <w:bidi w:val="0"/>
        <w:snapToGrid/>
        <w:spacing w:line="560" w:lineRule="exact"/>
        <w:ind w:left="0" w:leftChars="0" w:right="0" w:rightChars="0" w:firstLine="640"/>
        <w:jc w:val="both"/>
        <w:textAlignment w:val="auto"/>
        <w:outlineLvl w:val="9"/>
        <w:rPr>
          <w:rFonts w:hint="eastAsia" w:ascii="仿宋_GB2312" w:hAnsi="仿宋_GB2312" w:eastAsia="仿宋_GB2312" w:cs="仿宋_GB2312"/>
          <w:color w:val="000000"/>
          <w:kern w:val="2"/>
          <w:sz w:val="32"/>
          <w:szCs w:val="32"/>
          <w:lang w:val="en-US" w:eastAsia="zh-CN" w:bidi="ar-SA"/>
        </w:rPr>
      </w:pPr>
      <w:r>
        <w:rPr>
          <w:rFonts w:hint="eastAsia" w:ascii="仿宋_GB2312" w:hAnsi="仿宋_GB2312" w:eastAsia="仿宋_GB2312" w:cs="仿宋_GB2312"/>
          <w:color w:val="000000"/>
          <w:kern w:val="2"/>
          <w:sz w:val="32"/>
          <w:szCs w:val="32"/>
          <w:lang w:val="en-US" w:eastAsia="zh-CN" w:bidi="ar-SA"/>
        </w:rPr>
        <w:t>医疗机构、家庭服务机构、劳务派遣机构等应当依照相关法律法规或者合同约定，明确对从业人员的管理职责。</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eastAsia" w:ascii="仿宋_GB2312" w:hAnsi="仿宋_GB2312" w:eastAsia="仿宋_GB2312" w:cs="仿宋_GB2312"/>
          <w:color w:val="000000"/>
          <w:sz w:val="32"/>
          <w:szCs w:val="32"/>
          <w:lang w:val="en-US" w:eastAsia="zh-CN"/>
        </w:rPr>
      </w:pPr>
      <w:r>
        <w:rPr>
          <w:rFonts w:hint="eastAsia" w:ascii="黑体" w:hAnsi="黑体" w:eastAsia="黑体" w:cs="黑体"/>
          <w:sz w:val="32"/>
          <w:szCs w:val="32"/>
          <w:highlight w:val="none"/>
          <w:lang w:val="en-US" w:eastAsia="zh-CN"/>
        </w:rPr>
        <w:t xml:space="preserve">第四十九条  </w:t>
      </w:r>
      <w:r>
        <w:rPr>
          <w:rFonts w:hint="eastAsia" w:ascii="仿宋_GB2312" w:hAnsi="仿宋_GB2312" w:eastAsia="仿宋_GB2312" w:cs="仿宋_GB2312"/>
          <w:color w:val="000000"/>
          <w:sz w:val="32"/>
          <w:szCs w:val="32"/>
          <w:lang w:val="en-US" w:eastAsia="zh-CN"/>
        </w:rPr>
        <w:t>县级以上地方人民政府应当将养老服务专业</w:t>
      </w:r>
      <w:r>
        <w:rPr>
          <w:rFonts w:hint="eastAsia" w:ascii="仿宋_GB2312" w:hAnsi="仿宋_GB2312" w:eastAsia="仿宋_GB2312" w:cs="仿宋_GB2312"/>
          <w:color w:val="000000"/>
          <w:spacing w:val="-6"/>
          <w:sz w:val="32"/>
          <w:szCs w:val="32"/>
          <w:lang w:val="en-US" w:eastAsia="zh-CN"/>
        </w:rPr>
        <w:t>人才培养纳入高等教育、职业教育、继续教育和职业技能培训体系。</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鼓励和支持有条件的高等学校、职业院校开设康复治疗、护理学、健康管理、应用心理学等老年服务相关专业和课程，加强学科建设与人才培养。</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县级以上地方人民政府人力资源和社会保障、卫生健康、民政等部门应当依托高等学校、社会培训机构、职业院校、技工学校、养老服务机构、医疗卫生机构等，建立养老服务教学和实训基地，实现养老服务从业人员技能培训全覆盖，按照规定提供职业培训补贴。</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eastAsia" w:ascii="仿宋_GB2312" w:hAnsi="仿宋_GB2312" w:eastAsia="仿宋_GB2312" w:cs="仿宋_GB2312"/>
          <w:color w:val="000000"/>
          <w:sz w:val="32"/>
          <w:szCs w:val="32"/>
          <w:lang w:val="en-US" w:eastAsia="zh-CN"/>
        </w:rPr>
      </w:pPr>
      <w:r>
        <w:rPr>
          <w:rFonts w:hint="eastAsia" w:ascii="黑体" w:hAnsi="黑体" w:eastAsia="黑体" w:cs="黑体"/>
          <w:sz w:val="32"/>
          <w:szCs w:val="32"/>
          <w:highlight w:val="none"/>
          <w:lang w:val="en-US" w:eastAsia="zh-CN"/>
        </w:rPr>
        <w:t>第五十条</w:t>
      </w:r>
      <w:r>
        <w:rPr>
          <w:rFonts w:hint="eastAsia" w:ascii="仿宋" w:hAnsi="仿宋" w:eastAsia="仿宋_GB2312" w:cs="仿宋"/>
          <w:color w:val="000000"/>
          <w:sz w:val="32"/>
          <w:szCs w:val="32"/>
        </w:rPr>
        <w:t xml:space="preserve">  </w:t>
      </w:r>
      <w:r>
        <w:rPr>
          <w:rFonts w:hint="eastAsia" w:ascii="仿宋_GB2312" w:hAnsi="仿宋_GB2312" w:eastAsia="仿宋_GB2312" w:cs="仿宋_GB2312"/>
          <w:color w:val="000000"/>
          <w:sz w:val="32"/>
          <w:szCs w:val="32"/>
          <w:lang w:val="en-US" w:eastAsia="zh-CN"/>
        </w:rPr>
        <w:t>县级以上地方人民政府应当建立健全养老服务从业人员激励机制，加大对养老服务机构稳定从业人员的激励力度，鼓励实行入职补贴、工龄补贴等，促进养老服务从业人员劳动报酬合理增长。</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eastAsia" w:ascii="仿宋_GB2312" w:hAnsi="仿宋_GB2312" w:eastAsia="仿宋_GB2312" w:cs="仿宋_GB2312"/>
          <w:color w:val="000000"/>
          <w:sz w:val="32"/>
          <w:szCs w:val="32"/>
          <w:lang w:val="en-US" w:eastAsia="zh-CN"/>
        </w:rPr>
      </w:pPr>
      <w:r>
        <w:rPr>
          <w:rFonts w:hint="eastAsia" w:ascii="黑体" w:hAnsi="黑体" w:eastAsia="黑体" w:cs="黑体"/>
          <w:sz w:val="32"/>
          <w:szCs w:val="32"/>
          <w:highlight w:val="none"/>
          <w:lang w:eastAsia="zh-CN"/>
        </w:rPr>
        <w:t>第五十一条</w:t>
      </w:r>
      <w:r>
        <w:rPr>
          <w:rFonts w:hint="eastAsia" w:ascii="仿宋" w:hAnsi="仿宋" w:eastAsia="仿宋_GB2312" w:cs="仿宋"/>
          <w:color w:val="000000"/>
          <w:sz w:val="32"/>
          <w:szCs w:val="32"/>
        </w:rPr>
        <w:t xml:space="preserve">  </w:t>
      </w:r>
      <w:r>
        <w:rPr>
          <w:rFonts w:hint="eastAsia" w:ascii="仿宋_GB2312" w:hAnsi="仿宋_GB2312" w:eastAsia="仿宋_GB2312" w:cs="仿宋_GB2312"/>
          <w:color w:val="000000"/>
          <w:sz w:val="32"/>
          <w:szCs w:val="32"/>
          <w:lang w:val="en-US" w:eastAsia="zh-CN"/>
        </w:rPr>
        <w:t>养老服务机构应当与养老服务从业人员依法签订聘用合同或者劳动合同，改善工作条件，加强劳动保护和职业防护，依法为养老服务从业人员缴纳社会保险费，并安排其定期进行健康检查。养老服务机构应当定期组织养老服务从业人员进行职业道德教育和职业技能培训。</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县级以上地方人民政府应当在非营利性的养老服务机构和社区优先安排从事养老服务的公益性岗位。</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社会各界应当尊重和保护养老服务从业人员的人格尊严和合法权益。</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16" w:firstLineChars="200"/>
        <w:textAlignment w:val="auto"/>
        <w:outlineLvl w:val="9"/>
        <w:rPr>
          <w:rFonts w:hint="eastAsia" w:ascii="仿宋_GB2312" w:hAnsi="仿宋_GB2312" w:eastAsia="仿宋_GB2312" w:cs="仿宋_GB2312"/>
          <w:color w:val="000000"/>
          <w:spacing w:val="-6"/>
          <w:sz w:val="32"/>
          <w:szCs w:val="32"/>
          <w:lang w:val="en-US" w:eastAsia="zh-CN"/>
        </w:rPr>
      </w:pPr>
      <w:r>
        <w:rPr>
          <w:rFonts w:hint="eastAsia" w:ascii="黑体" w:hAnsi="黑体" w:eastAsia="黑体" w:cs="黑体"/>
          <w:spacing w:val="-6"/>
          <w:sz w:val="32"/>
          <w:szCs w:val="32"/>
          <w:highlight w:val="none"/>
          <w:lang w:eastAsia="zh-CN"/>
        </w:rPr>
        <w:t>第五十二条</w:t>
      </w:r>
      <w:r>
        <w:rPr>
          <w:rFonts w:hint="eastAsia" w:ascii="黑体" w:hAnsi="黑体" w:eastAsia="黑体" w:cs="黑体"/>
          <w:color w:val="auto"/>
          <w:spacing w:val="-6"/>
          <w:sz w:val="32"/>
          <w:szCs w:val="32"/>
          <w:lang w:eastAsia="zh-CN"/>
        </w:rPr>
        <w:t xml:space="preserve"> </w:t>
      </w:r>
      <w:r>
        <w:rPr>
          <w:rFonts w:hint="eastAsia" w:ascii="仿宋" w:hAnsi="仿宋" w:eastAsia="仿宋_GB2312" w:cs="仿宋"/>
          <w:color w:val="auto"/>
          <w:spacing w:val="-6"/>
          <w:sz w:val="32"/>
          <w:szCs w:val="32"/>
          <w:lang w:val="en-US" w:eastAsia="zh-CN"/>
        </w:rPr>
        <w:t xml:space="preserve"> </w:t>
      </w:r>
      <w:r>
        <w:rPr>
          <w:rFonts w:hint="eastAsia" w:ascii="仿宋_GB2312" w:hAnsi="仿宋_GB2312" w:eastAsia="仿宋_GB2312" w:cs="仿宋_GB2312"/>
          <w:color w:val="000000"/>
          <w:spacing w:val="-6"/>
          <w:sz w:val="32"/>
          <w:szCs w:val="32"/>
          <w:lang w:val="en-US" w:eastAsia="zh-CN"/>
        </w:rPr>
        <w:t>养老服务从业人员不得有下列行为：</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（一）谩骂、侮辱、虐待、殴打老年人；</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（二）偷盗、骗取、强行索要或者故意损毁老年人的财物；</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（三）泄露老年人的隐私；</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（四）诱导、欺骗老年人消费和投资；</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（五）其他违反法律、法规、公序良俗和职业道德的行为。</w:t>
      </w:r>
    </w:p>
    <w:p>
      <w:pPr>
        <w:keepNext w:val="0"/>
        <w:keepLines w:val="0"/>
        <w:pageBreakBefore w:val="0"/>
        <w:widowControl w:val="0"/>
        <w:kinsoku/>
        <w:wordWrap/>
        <w:overflowPunct/>
        <w:topLinePunct w:val="0"/>
        <w:autoSpaceDE/>
        <w:autoSpaceDN/>
        <w:bidi w:val="0"/>
        <w:adjustRightInd/>
        <w:snapToGrid/>
        <w:spacing w:before="156" w:beforeLines="50" w:after="156" w:afterLines="50" w:line="560" w:lineRule="exact"/>
        <w:ind w:left="0" w:leftChars="0" w:right="0" w:rightChars="0" w:firstLine="0" w:firstLineChars="0"/>
        <w:jc w:val="center"/>
        <w:textAlignment w:val="auto"/>
        <w:outlineLvl w:val="9"/>
        <w:rPr>
          <w:rFonts w:hint="eastAsia" w:ascii="黑体" w:hAnsi="黑体" w:eastAsia="黑体" w:cs="黑体"/>
          <w:color w:val="000000"/>
          <w:sz w:val="32"/>
          <w:szCs w:val="32"/>
        </w:rPr>
      </w:pPr>
      <w:r>
        <w:rPr>
          <w:rFonts w:hint="eastAsia" w:ascii="黑体" w:hAnsi="黑体" w:eastAsia="黑体" w:cs="黑体"/>
          <w:color w:val="000000"/>
          <w:sz w:val="32"/>
          <w:szCs w:val="32"/>
        </w:rPr>
        <w:t>第</w:t>
      </w:r>
      <w:r>
        <w:rPr>
          <w:rFonts w:hint="eastAsia" w:ascii="黑体" w:hAnsi="黑体" w:eastAsia="黑体" w:cs="黑体"/>
          <w:color w:val="000000"/>
          <w:sz w:val="32"/>
          <w:szCs w:val="32"/>
          <w:lang w:eastAsia="zh-CN"/>
        </w:rPr>
        <w:t>七</w:t>
      </w:r>
      <w:r>
        <w:rPr>
          <w:rFonts w:hint="eastAsia" w:ascii="黑体" w:hAnsi="黑体" w:eastAsia="黑体" w:cs="黑体"/>
          <w:color w:val="000000"/>
          <w:sz w:val="32"/>
          <w:szCs w:val="32"/>
        </w:rPr>
        <w:t>章  扶持保障</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eastAsia" w:ascii="仿宋_GB2312" w:hAnsi="仿宋_GB2312" w:eastAsia="仿宋_GB2312" w:cs="仿宋_GB2312"/>
          <w:color w:val="000000"/>
          <w:sz w:val="32"/>
          <w:szCs w:val="32"/>
          <w:lang w:val="en-US" w:eastAsia="zh-CN"/>
        </w:rPr>
      </w:pPr>
      <w:r>
        <w:rPr>
          <w:rFonts w:hint="eastAsia" w:ascii="黑体" w:hAnsi="黑体" w:eastAsia="黑体" w:cs="黑体"/>
          <w:sz w:val="32"/>
          <w:szCs w:val="32"/>
          <w:highlight w:val="none"/>
          <w:lang w:eastAsia="zh-CN"/>
        </w:rPr>
        <w:t>第五十三条</w:t>
      </w:r>
      <w:r>
        <w:rPr>
          <w:rFonts w:hint="eastAsia" w:ascii="仿宋" w:hAnsi="仿宋" w:eastAsia="仿宋_GB2312" w:cs="仿宋"/>
          <w:color w:val="auto"/>
          <w:sz w:val="32"/>
          <w:szCs w:val="32"/>
        </w:rPr>
        <w:t xml:space="preserve">  </w:t>
      </w:r>
      <w:r>
        <w:rPr>
          <w:rFonts w:hint="eastAsia" w:ascii="仿宋_GB2312" w:hAnsi="仿宋_GB2312" w:eastAsia="仿宋_GB2312" w:cs="仿宋_GB2312"/>
          <w:color w:val="000000"/>
          <w:sz w:val="32"/>
          <w:szCs w:val="32"/>
          <w:lang w:val="en-US" w:eastAsia="zh-CN"/>
        </w:rPr>
        <w:t xml:space="preserve">县级以上地方人民政府应当设立养老服务专项资金，加大财政投入力度。 </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县级以上地方人民政府应当将同级福利彩票公益金本级留存部分的百分之六十以上用于发展养老服务。</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地方各级人民政府应当按照规定，对符合条件的养老服务机构给予相应的建设补贴和运营补贴；可以通过专项债、贷款贴息、直接融资补贴、融资担保和风险补偿等措施，引导信贷资金和社会资金投向养老服务业。</w:t>
      </w:r>
    </w:p>
    <w:p>
      <w:pPr>
        <w:pStyle w:val="2"/>
        <w:keepNext w:val="0"/>
        <w:keepLines w:val="0"/>
        <w:pageBreakBefore w:val="0"/>
        <w:widowControl w:val="0"/>
        <w:kinsoku/>
        <w:wordWrap/>
        <w:overflowPunct/>
        <w:topLinePunct w:val="0"/>
        <w:bidi w:val="0"/>
        <w:snapToGrid/>
        <w:spacing w:line="560" w:lineRule="exact"/>
        <w:ind w:left="0" w:leftChars="0" w:right="0" w:rightChars="0" w:firstLine="640" w:firstLineChars="200"/>
        <w:textAlignment w:val="auto"/>
        <w:outlineLvl w:val="9"/>
        <w:rPr>
          <w:rFonts w:hint="eastAsia" w:ascii="仿宋_GB2312" w:hAnsi="仿宋_GB2312" w:eastAsia="仿宋_GB2312" w:cs="仿宋_GB2312"/>
          <w:color w:val="000000"/>
          <w:kern w:val="2"/>
          <w:sz w:val="32"/>
          <w:szCs w:val="32"/>
          <w:lang w:val="en-US" w:eastAsia="zh-CN" w:bidi="ar-SA"/>
        </w:rPr>
      </w:pPr>
      <w:r>
        <w:rPr>
          <w:rFonts w:hint="eastAsia" w:ascii="黑体" w:hAnsi="黑体" w:eastAsia="黑体" w:cs="黑体"/>
          <w:color w:val="auto"/>
          <w:sz w:val="32"/>
          <w:szCs w:val="32"/>
        </w:rPr>
        <w:t>第</w:t>
      </w:r>
      <w:r>
        <w:rPr>
          <w:rFonts w:hint="eastAsia" w:ascii="黑体" w:hAnsi="黑体" w:eastAsia="黑体" w:cs="黑体"/>
          <w:color w:val="auto"/>
          <w:sz w:val="32"/>
          <w:szCs w:val="32"/>
          <w:lang w:eastAsia="zh-CN"/>
        </w:rPr>
        <w:t>五十四</w:t>
      </w:r>
      <w:r>
        <w:rPr>
          <w:rFonts w:hint="eastAsia" w:ascii="黑体" w:hAnsi="黑体" w:eastAsia="黑体" w:cs="黑体"/>
          <w:color w:val="auto"/>
          <w:sz w:val="32"/>
          <w:szCs w:val="32"/>
        </w:rPr>
        <w:t>条</w:t>
      </w:r>
      <w:r>
        <w:rPr>
          <w:rFonts w:hint="eastAsia" w:ascii="黑体" w:hAnsi="黑体" w:eastAsia="黑体" w:cs="黑体"/>
          <w:color w:val="auto"/>
          <w:sz w:val="32"/>
          <w:szCs w:val="32"/>
          <w:highlight w:val="none"/>
          <w:lang w:val="en-US" w:eastAsia="zh-CN"/>
        </w:rPr>
        <w:t xml:space="preserve"> </w:t>
      </w:r>
      <w:r>
        <w:rPr>
          <w:rFonts w:hint="eastAsia" w:ascii="仿宋" w:hAnsi="仿宋" w:eastAsia="仿宋_GB2312" w:cs="仿宋"/>
          <w:color w:val="auto"/>
          <w:sz w:val="32"/>
          <w:szCs w:val="32"/>
        </w:rPr>
        <w:t xml:space="preserve"> </w:t>
      </w:r>
      <w:r>
        <w:rPr>
          <w:rFonts w:hint="eastAsia" w:ascii="仿宋_GB2312" w:hAnsi="仿宋_GB2312" w:eastAsia="仿宋_GB2312" w:cs="仿宋_GB2312"/>
          <w:color w:val="000000"/>
          <w:kern w:val="2"/>
          <w:sz w:val="32"/>
          <w:szCs w:val="32"/>
          <w:lang w:val="en-US" w:eastAsia="zh-CN" w:bidi="ar-SA"/>
        </w:rPr>
        <w:t>县级以上地方人民政府应当综合运用规划、土地、住房、财政、投资、融资、人才等支持政策，引导各类主体提供普惠养老服务。</w:t>
      </w:r>
    </w:p>
    <w:p>
      <w:pPr>
        <w:pStyle w:val="2"/>
        <w:keepNext w:val="0"/>
        <w:keepLines w:val="0"/>
        <w:pageBreakBefore w:val="0"/>
        <w:widowControl w:val="0"/>
        <w:kinsoku/>
        <w:wordWrap/>
        <w:overflowPunct/>
        <w:topLinePunct w:val="0"/>
        <w:bidi w:val="0"/>
        <w:snapToGrid/>
        <w:spacing w:line="560" w:lineRule="exact"/>
        <w:ind w:left="0" w:leftChars="0" w:right="0" w:rightChars="0" w:firstLine="640" w:firstLineChars="200"/>
        <w:textAlignment w:val="auto"/>
        <w:outlineLvl w:val="9"/>
        <w:rPr>
          <w:rFonts w:hint="eastAsia" w:ascii="仿宋_GB2312" w:hAnsi="仿宋_GB2312" w:eastAsia="仿宋_GB2312" w:cs="仿宋_GB2312"/>
          <w:color w:val="000000"/>
          <w:kern w:val="2"/>
          <w:sz w:val="32"/>
          <w:szCs w:val="32"/>
          <w:lang w:val="en-US" w:eastAsia="zh-CN" w:bidi="ar-SA"/>
        </w:rPr>
      </w:pPr>
      <w:r>
        <w:rPr>
          <w:rFonts w:hint="eastAsia" w:ascii="仿宋_GB2312" w:hAnsi="仿宋_GB2312" w:eastAsia="仿宋_GB2312" w:cs="仿宋_GB2312"/>
          <w:color w:val="000000"/>
          <w:kern w:val="2"/>
          <w:sz w:val="32"/>
          <w:szCs w:val="32"/>
          <w:lang w:val="en-US" w:eastAsia="zh-CN" w:bidi="ar-SA"/>
        </w:rPr>
        <w:t>支持国有资本以多种方式参与养老服务业，推动行政机关、国有企业事业单位的培训疗养机构转型为普惠型养老服务机构，培育发展具有公共服务属性的普惠型国有养老服务企业。</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eastAsia" w:ascii="仿宋_GB2312" w:hAnsi="仿宋_GB2312" w:eastAsia="仿宋_GB2312" w:cs="仿宋_GB2312"/>
          <w:color w:val="000000"/>
          <w:sz w:val="32"/>
          <w:szCs w:val="32"/>
          <w:lang w:val="en-US" w:eastAsia="zh-CN"/>
        </w:rPr>
      </w:pPr>
      <w:r>
        <w:rPr>
          <w:rFonts w:hint="eastAsia" w:ascii="黑体" w:hAnsi="黑体" w:eastAsia="黑体" w:cs="黑体"/>
          <w:sz w:val="32"/>
          <w:szCs w:val="32"/>
          <w:highlight w:val="none"/>
          <w:lang w:eastAsia="zh-CN"/>
        </w:rPr>
        <w:t>第五十五条</w:t>
      </w:r>
      <w:r>
        <w:rPr>
          <w:rFonts w:hint="eastAsia" w:ascii="仿宋" w:hAnsi="仿宋" w:eastAsia="仿宋_GB2312" w:cs="仿宋"/>
          <w:color w:val="000000"/>
          <w:sz w:val="32"/>
          <w:szCs w:val="32"/>
        </w:rPr>
        <w:t xml:space="preserve">  </w:t>
      </w:r>
      <w:r>
        <w:rPr>
          <w:rFonts w:hint="eastAsia" w:ascii="仿宋_GB2312" w:hAnsi="仿宋_GB2312" w:eastAsia="仿宋_GB2312" w:cs="仿宋_GB2312"/>
          <w:color w:val="000000"/>
          <w:sz w:val="32"/>
          <w:szCs w:val="32"/>
          <w:lang w:val="en-US" w:eastAsia="zh-CN"/>
        </w:rPr>
        <w:t>县级以上地方人民政府应当制定并完善政府购买养老服务的具体实施办法，明确购买主体和承接主体，确定购买服务的种类、性质、内容和标准，建立健全监督管理和服务质量评价机制。</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eastAsia" w:ascii="仿宋_GB2312" w:hAnsi="仿宋_GB2312" w:eastAsia="仿宋_GB2312" w:cs="仿宋_GB2312"/>
          <w:color w:val="000000"/>
          <w:sz w:val="32"/>
          <w:szCs w:val="32"/>
          <w:lang w:val="en-US" w:eastAsia="zh-CN"/>
        </w:rPr>
      </w:pPr>
      <w:r>
        <w:rPr>
          <w:rFonts w:hint="eastAsia" w:ascii="黑体" w:hAnsi="黑体" w:eastAsia="黑体" w:cs="黑体"/>
          <w:sz w:val="32"/>
          <w:szCs w:val="32"/>
          <w:highlight w:val="none"/>
          <w:lang w:eastAsia="zh-CN"/>
        </w:rPr>
        <w:t>第五十六条</w:t>
      </w:r>
      <w:r>
        <w:rPr>
          <w:rFonts w:hint="eastAsia" w:ascii="仿宋" w:hAnsi="仿宋" w:eastAsia="仿宋_GB2312" w:cs="仿宋"/>
          <w:color w:val="000000"/>
          <w:sz w:val="32"/>
          <w:szCs w:val="32"/>
        </w:rPr>
        <w:t xml:space="preserve"> </w:t>
      </w:r>
      <w:r>
        <w:rPr>
          <w:rFonts w:hint="eastAsia" w:ascii="仿宋_GB2312" w:hAnsi="仿宋_GB2312" w:eastAsia="仿宋_GB2312" w:cs="仿宋_GB2312"/>
          <w:color w:val="000000"/>
          <w:sz w:val="32"/>
          <w:szCs w:val="32"/>
          <w:lang w:val="en-US" w:eastAsia="zh-CN"/>
        </w:rPr>
        <w:t xml:space="preserve"> 县级以上地方人民政府应当制定并完善养老服务业扶持政策，综合运用用地用房、金融支持、税费优惠、人才培养等措施，积极引导社会资本参与养老服务，兴办满足不同需求的养老服务机构。</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支持境外投资者依法在闽投资设立养老服务机构，并享受与境内投资者同等优惠扶持政策。</w:t>
      </w:r>
    </w:p>
    <w:p>
      <w:pPr>
        <w:pStyle w:val="2"/>
        <w:keepNext w:val="0"/>
        <w:keepLines w:val="0"/>
        <w:pageBreakBefore w:val="0"/>
        <w:widowControl w:val="0"/>
        <w:kinsoku/>
        <w:wordWrap/>
        <w:overflowPunct/>
        <w:topLinePunct w:val="0"/>
        <w:bidi w:val="0"/>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color w:val="000000"/>
          <w:kern w:val="2"/>
          <w:sz w:val="32"/>
          <w:szCs w:val="32"/>
          <w:lang w:val="en-US" w:eastAsia="zh-CN" w:bidi="ar-SA"/>
        </w:rPr>
      </w:pPr>
      <w:r>
        <w:rPr>
          <w:rFonts w:hint="eastAsia" w:ascii="黑体" w:hAnsi="黑体" w:eastAsia="黑体" w:cs="黑体"/>
          <w:sz w:val="32"/>
          <w:szCs w:val="32"/>
          <w:highlight w:val="none"/>
          <w:u w:val="none"/>
          <w:lang w:eastAsia="zh-CN"/>
        </w:rPr>
        <w:t>第五十七条</w:t>
      </w:r>
      <w:r>
        <w:rPr>
          <w:rFonts w:hint="eastAsia" w:ascii="黑体" w:hAnsi="黑体" w:eastAsia="黑体" w:cs="黑体"/>
          <w:sz w:val="32"/>
          <w:szCs w:val="32"/>
          <w:highlight w:val="none"/>
          <w:u w:val="none"/>
          <w:lang w:val="en-US" w:eastAsia="zh-CN"/>
        </w:rPr>
        <w:t xml:space="preserve">  </w:t>
      </w:r>
      <w:r>
        <w:rPr>
          <w:rFonts w:hint="eastAsia" w:ascii="仿宋_GB2312" w:hAnsi="仿宋_GB2312" w:eastAsia="仿宋_GB2312" w:cs="仿宋_GB2312"/>
          <w:color w:val="000000"/>
          <w:kern w:val="2"/>
          <w:sz w:val="32"/>
          <w:szCs w:val="32"/>
          <w:lang w:val="en-US" w:eastAsia="zh-CN" w:bidi="ar-SA"/>
        </w:rPr>
        <w:t>推动闽台养老服务合作，加强在养老产品开发、机构运营管理、专业人才培养等领域的交流与合作。</w:t>
      </w:r>
    </w:p>
    <w:p>
      <w:pPr>
        <w:pStyle w:val="2"/>
        <w:keepNext w:val="0"/>
        <w:keepLines w:val="0"/>
        <w:pageBreakBefore w:val="0"/>
        <w:widowControl w:val="0"/>
        <w:kinsoku/>
        <w:wordWrap/>
        <w:overflowPunct/>
        <w:topLinePunct w:val="0"/>
        <w:bidi w:val="0"/>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color w:val="000000"/>
          <w:kern w:val="2"/>
          <w:sz w:val="32"/>
          <w:szCs w:val="32"/>
          <w:lang w:val="en-US" w:eastAsia="zh-CN" w:bidi="ar-SA"/>
        </w:rPr>
      </w:pPr>
      <w:r>
        <w:rPr>
          <w:rFonts w:hint="eastAsia" w:ascii="仿宋_GB2312" w:hAnsi="仿宋_GB2312" w:eastAsia="仿宋_GB2312" w:cs="仿宋_GB2312"/>
          <w:color w:val="000000"/>
          <w:kern w:val="2"/>
          <w:sz w:val="32"/>
          <w:szCs w:val="32"/>
          <w:lang w:val="en-US" w:eastAsia="zh-CN" w:bidi="ar-SA"/>
        </w:rPr>
        <w:t>在本省长期居住生活的台湾地区老年居民，符合相关法律法规和政策条件的，与本省居民同等享受普惠养老服务。</w:t>
      </w:r>
    </w:p>
    <w:p>
      <w:pPr>
        <w:pStyle w:val="2"/>
        <w:keepNext w:val="0"/>
        <w:keepLines w:val="0"/>
        <w:pageBreakBefore w:val="0"/>
        <w:widowControl w:val="0"/>
        <w:kinsoku/>
        <w:wordWrap/>
        <w:overflowPunct/>
        <w:topLinePunct w:val="0"/>
        <w:bidi w:val="0"/>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color w:val="000000"/>
          <w:kern w:val="2"/>
          <w:sz w:val="32"/>
          <w:szCs w:val="32"/>
          <w:lang w:val="en-US" w:eastAsia="zh-CN" w:bidi="ar-SA"/>
        </w:rPr>
      </w:pPr>
      <w:r>
        <w:rPr>
          <w:rFonts w:hint="eastAsia" w:ascii="黑体" w:hAnsi="黑体" w:eastAsia="黑体" w:cs="黑体"/>
          <w:sz w:val="32"/>
          <w:szCs w:val="32"/>
          <w:highlight w:val="none"/>
          <w:u w:val="none"/>
          <w:lang w:val="en-US" w:eastAsia="zh-CN"/>
        </w:rPr>
        <w:t xml:space="preserve">第五十八条  </w:t>
      </w:r>
      <w:r>
        <w:rPr>
          <w:rFonts w:hint="eastAsia" w:ascii="仿宋_GB2312" w:hAnsi="仿宋_GB2312" w:eastAsia="仿宋_GB2312" w:cs="仿宋_GB2312"/>
          <w:color w:val="000000"/>
          <w:kern w:val="2"/>
          <w:sz w:val="32"/>
          <w:szCs w:val="32"/>
          <w:lang w:val="en-US" w:eastAsia="zh-CN" w:bidi="ar-SA"/>
        </w:rPr>
        <w:t>外埠老年人到子女所在城市与子女共同生活</w:t>
      </w:r>
      <w:r>
        <w:rPr>
          <w:rFonts w:hint="eastAsia" w:ascii="仿宋_GB2312" w:hAnsi="仿宋_GB2312" w:eastAsia="仿宋_GB2312" w:cs="仿宋_GB2312"/>
          <w:color w:val="000000"/>
          <w:spacing w:val="-6"/>
          <w:kern w:val="2"/>
          <w:sz w:val="32"/>
          <w:szCs w:val="32"/>
          <w:lang w:val="en-US" w:eastAsia="zh-CN" w:bidi="ar-SA"/>
        </w:rPr>
        <w:t>的，有关部门应当在医保结算、公共交通等方面给予养老服务便利。</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eastAsia" w:ascii="仿宋_GB2312" w:hAnsi="仿宋_GB2312" w:eastAsia="仿宋_GB2312" w:cs="仿宋_GB2312"/>
          <w:color w:val="000000"/>
          <w:sz w:val="32"/>
          <w:szCs w:val="32"/>
          <w:lang w:val="en-US" w:eastAsia="zh-CN"/>
        </w:rPr>
      </w:pPr>
      <w:r>
        <w:rPr>
          <w:rFonts w:hint="eastAsia" w:ascii="黑体" w:hAnsi="黑体" w:eastAsia="黑体" w:cs="黑体"/>
          <w:sz w:val="32"/>
          <w:szCs w:val="32"/>
          <w:highlight w:val="none"/>
          <w:lang w:eastAsia="zh-CN"/>
        </w:rPr>
        <w:t>第五十九条</w:t>
      </w:r>
      <w:r>
        <w:rPr>
          <w:rFonts w:hint="eastAsia" w:ascii="黑体" w:hAnsi="黑体" w:eastAsia="黑体" w:cs="黑体"/>
          <w:sz w:val="32"/>
          <w:szCs w:val="32"/>
          <w:highlight w:val="none"/>
          <w:lang w:val="en-US" w:eastAsia="zh-CN"/>
        </w:rPr>
        <w:t xml:space="preserve"> </w:t>
      </w:r>
      <w:r>
        <w:rPr>
          <w:rFonts w:hint="eastAsia" w:ascii="仿宋" w:hAnsi="仿宋" w:eastAsia="仿宋_GB2312" w:cs="仿宋"/>
          <w:color w:val="000000"/>
          <w:sz w:val="32"/>
          <w:szCs w:val="32"/>
          <w:shd w:val="clear" w:color="auto" w:fill="FFFFFF"/>
        </w:rPr>
        <w:t xml:space="preserve"> </w:t>
      </w:r>
      <w:r>
        <w:rPr>
          <w:rFonts w:hint="eastAsia" w:ascii="仿宋_GB2312" w:hAnsi="仿宋_GB2312" w:eastAsia="仿宋_GB2312" w:cs="仿宋_GB2312"/>
          <w:color w:val="000000"/>
          <w:sz w:val="32"/>
          <w:szCs w:val="32"/>
          <w:lang w:val="en-US" w:eastAsia="zh-CN"/>
        </w:rPr>
        <w:t>县级以上地方人民政府应当加强对老年教育工作的组织领导，将老年教育列入教育发展规划，制订相应的制度规范，构建终身学习的教育体系。</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县级以上地方人民政府应当建立健全老年教育网络，将教育</w:t>
      </w:r>
      <w:r>
        <w:rPr>
          <w:rFonts w:hint="eastAsia" w:ascii="仿宋_GB2312" w:hAnsi="仿宋_GB2312" w:eastAsia="仿宋_GB2312" w:cs="仿宋_GB2312"/>
          <w:color w:val="000000"/>
          <w:spacing w:val="-11"/>
          <w:sz w:val="32"/>
          <w:szCs w:val="32"/>
          <w:lang w:val="en-US" w:eastAsia="zh-CN"/>
        </w:rPr>
        <w:t>资源向基层和社区延伸，为老年人提供线上线下相结合的教育服务。</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鼓励社会力量开展老年教育，支持开放大学、高等学校、职业院校等各类教育机构及其他社会主体设立老年教育学习点。</w:t>
      </w:r>
    </w:p>
    <w:p>
      <w:pPr>
        <w:pStyle w:val="2"/>
        <w:keepNext w:val="0"/>
        <w:keepLines w:val="0"/>
        <w:pageBreakBefore w:val="0"/>
        <w:widowControl w:val="0"/>
        <w:kinsoku/>
        <w:wordWrap/>
        <w:overflowPunct/>
        <w:topLinePunct w:val="0"/>
        <w:bidi w:val="0"/>
        <w:snapToGrid/>
        <w:spacing w:line="560" w:lineRule="exact"/>
        <w:ind w:left="0" w:leftChars="0" w:right="0" w:rightChars="0" w:firstLine="640" w:firstLineChars="200"/>
        <w:textAlignment w:val="auto"/>
        <w:outlineLvl w:val="9"/>
        <w:rPr>
          <w:rFonts w:hint="eastAsia" w:ascii="仿宋_GB2312" w:hAnsi="仿宋_GB2312" w:eastAsia="仿宋_GB2312" w:cs="仿宋_GB2312"/>
          <w:color w:val="000000"/>
          <w:kern w:val="2"/>
          <w:sz w:val="32"/>
          <w:szCs w:val="32"/>
          <w:lang w:val="en-US" w:eastAsia="zh-CN" w:bidi="ar-SA"/>
        </w:rPr>
      </w:pPr>
      <w:r>
        <w:rPr>
          <w:rFonts w:hint="eastAsia" w:ascii="黑体" w:hAnsi="黑体" w:eastAsia="黑体" w:cs="黑体"/>
          <w:color w:val="000000"/>
          <w:kern w:val="0"/>
          <w:sz w:val="32"/>
          <w:szCs w:val="32"/>
          <w:highlight w:val="none"/>
          <w:lang w:val="en-US" w:eastAsia="zh-CN" w:bidi="ar-SA"/>
        </w:rPr>
        <w:t>第六十条</w:t>
      </w:r>
      <w:r>
        <w:rPr>
          <w:rFonts w:hint="eastAsia" w:ascii="黑体" w:hAnsi="黑体" w:eastAsia="黑体" w:cs="黑体"/>
          <w:sz w:val="32"/>
          <w:szCs w:val="32"/>
          <w:highlight w:val="none"/>
          <w:lang w:val="en-US" w:eastAsia="zh-CN"/>
        </w:rPr>
        <w:t xml:space="preserve">  </w:t>
      </w:r>
      <w:r>
        <w:rPr>
          <w:rFonts w:hint="eastAsia" w:ascii="仿宋_GB2312" w:hAnsi="仿宋_GB2312" w:eastAsia="仿宋_GB2312" w:cs="仿宋_GB2312"/>
          <w:color w:val="000000"/>
          <w:kern w:val="2"/>
          <w:sz w:val="32"/>
          <w:szCs w:val="32"/>
          <w:lang w:val="en-US" w:eastAsia="zh-CN" w:bidi="ar-SA"/>
        </w:rPr>
        <w:t>鼓励老年人发挥优势和特长，自愿参与社会经济和文化建设、社会公益事业等社会活动，省人民政府有关部门应当建立老年人才信息服务平台，并创造从业条件。</w:t>
      </w:r>
    </w:p>
    <w:p>
      <w:pPr>
        <w:pStyle w:val="2"/>
        <w:keepNext w:val="0"/>
        <w:keepLines w:val="0"/>
        <w:pageBreakBefore w:val="0"/>
        <w:widowControl w:val="0"/>
        <w:kinsoku/>
        <w:wordWrap/>
        <w:overflowPunct/>
        <w:topLinePunct w:val="0"/>
        <w:bidi w:val="0"/>
        <w:snapToGrid/>
        <w:spacing w:line="560" w:lineRule="exact"/>
        <w:ind w:left="0" w:leftChars="0" w:right="0" w:rightChars="0" w:firstLine="640" w:firstLineChars="200"/>
        <w:textAlignment w:val="auto"/>
        <w:outlineLvl w:val="9"/>
        <w:rPr>
          <w:rFonts w:hint="eastAsia" w:ascii="仿宋_GB2312" w:hAnsi="仿宋_GB2312" w:eastAsia="仿宋_GB2312" w:cs="仿宋_GB2312"/>
          <w:color w:val="000000"/>
          <w:kern w:val="2"/>
          <w:sz w:val="32"/>
          <w:szCs w:val="32"/>
          <w:lang w:val="en-US" w:eastAsia="zh-CN" w:bidi="ar-SA"/>
        </w:rPr>
      </w:pPr>
      <w:r>
        <w:rPr>
          <w:rFonts w:hint="eastAsia" w:ascii="仿宋_GB2312" w:hAnsi="仿宋_GB2312" w:eastAsia="仿宋_GB2312" w:cs="仿宋_GB2312"/>
          <w:color w:val="000000"/>
          <w:kern w:val="2"/>
          <w:sz w:val="32"/>
          <w:szCs w:val="32"/>
          <w:lang w:val="en-US" w:eastAsia="zh-CN" w:bidi="ar-SA"/>
        </w:rPr>
        <w:t>有条件的地方可以探索由从业单位自愿选择为老年从业人员单独办理工伤保险，或者购买人身意外伤害等商业保险。</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eastAsia" w:ascii="仿宋_GB2312" w:hAnsi="仿宋_GB2312" w:eastAsia="仿宋_GB2312" w:cs="仿宋_GB2312"/>
          <w:color w:val="000000"/>
          <w:sz w:val="32"/>
          <w:szCs w:val="32"/>
          <w:lang w:val="en-US" w:eastAsia="zh-CN"/>
        </w:rPr>
      </w:pPr>
      <w:r>
        <w:rPr>
          <w:rFonts w:hint="eastAsia" w:ascii="黑体" w:hAnsi="黑体" w:eastAsia="黑体" w:cs="黑体"/>
          <w:sz w:val="32"/>
          <w:szCs w:val="32"/>
          <w:highlight w:val="none"/>
          <w:lang w:eastAsia="zh-CN"/>
        </w:rPr>
        <w:t>第六十一条</w:t>
      </w:r>
      <w:r>
        <w:rPr>
          <w:rFonts w:hint="eastAsia" w:ascii="仿宋" w:hAnsi="仿宋" w:eastAsia="仿宋_GB2312" w:cs="仿宋"/>
          <w:color w:val="000000"/>
          <w:sz w:val="32"/>
          <w:szCs w:val="32"/>
        </w:rPr>
        <w:t xml:space="preserve">  </w:t>
      </w:r>
      <w:r>
        <w:rPr>
          <w:rFonts w:hint="eastAsia" w:ascii="仿宋_GB2312" w:hAnsi="仿宋_GB2312" w:eastAsia="仿宋_GB2312" w:cs="仿宋_GB2312"/>
          <w:color w:val="000000"/>
          <w:sz w:val="32"/>
          <w:szCs w:val="32"/>
          <w:lang w:val="en-US" w:eastAsia="zh-CN"/>
        </w:rPr>
        <w:t>符合条件的养老服务机构，可以享受相应的税收优惠、行政事业性收费减免和建设补助、运营补贴等优惠政策。</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养老服务机构用电、用水、用气按照居民生活类价格执行；安装、使用和维护固定电话、有线电视、宽带互联网，按照国家和本省有关规定减免收费。</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鼓励养老服务机构投保责任保险。养老服务机构投保责任保险的，按照规定给予相应的补贴。</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eastAsia" w:ascii="仿宋_GB2312" w:hAnsi="仿宋_GB2312" w:eastAsia="仿宋_GB2312" w:cs="仿宋_GB2312"/>
          <w:color w:val="000000"/>
          <w:sz w:val="32"/>
          <w:szCs w:val="32"/>
          <w:lang w:val="en-US" w:eastAsia="zh-CN"/>
        </w:rPr>
      </w:pPr>
      <w:r>
        <w:rPr>
          <w:rFonts w:hint="eastAsia" w:ascii="黑体" w:hAnsi="黑体" w:eastAsia="黑体" w:cs="黑体"/>
          <w:sz w:val="32"/>
          <w:szCs w:val="32"/>
          <w:highlight w:val="none"/>
          <w:lang w:eastAsia="zh-CN"/>
        </w:rPr>
        <w:t>第六十二条</w:t>
      </w:r>
      <w:r>
        <w:rPr>
          <w:rFonts w:hint="eastAsia" w:ascii="仿宋" w:hAnsi="仿宋" w:eastAsia="仿宋_GB2312" w:cs="仿宋"/>
          <w:color w:val="000000"/>
          <w:sz w:val="32"/>
          <w:szCs w:val="32"/>
        </w:rPr>
        <w:t xml:space="preserve">  </w:t>
      </w:r>
      <w:r>
        <w:rPr>
          <w:rFonts w:hint="eastAsia" w:ascii="仿宋_GB2312" w:hAnsi="仿宋_GB2312" w:eastAsia="仿宋_GB2312" w:cs="仿宋_GB2312"/>
          <w:color w:val="000000"/>
          <w:sz w:val="32"/>
          <w:szCs w:val="32"/>
          <w:lang w:val="en-US" w:eastAsia="zh-CN"/>
        </w:rPr>
        <w:t>积极培育银发经济，推动与老年人生活密切相关的食品、药品以及老年用品行业规范发展。支持企业推进适合老年人使用的智能化、辅助性以及康复治疗等产品的研发、创新和应用，提高老年人适用产品的质量和水平。</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eastAsia" w:ascii="仿宋" w:hAnsi="仿宋" w:eastAsia="仿宋_GB2312" w:cs="仿宋"/>
          <w:color w:val="000000"/>
          <w:sz w:val="32"/>
          <w:szCs w:val="32"/>
        </w:rPr>
      </w:pPr>
      <w:r>
        <w:rPr>
          <w:rFonts w:hint="eastAsia" w:ascii="仿宋" w:hAnsi="仿宋" w:eastAsia="仿宋_GB2312" w:cs="仿宋"/>
          <w:color w:val="000000"/>
          <w:sz w:val="32"/>
          <w:szCs w:val="32"/>
        </w:rPr>
        <w:t>鼓励养老服务机构专业化、连锁化、品牌化发展，依法加强养老服务商标品牌保护。</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eastAsia" w:ascii="仿宋_GB2312" w:hAnsi="仿宋_GB2312" w:eastAsia="仿宋_GB2312" w:cs="仿宋_GB2312"/>
          <w:color w:val="000000"/>
          <w:sz w:val="32"/>
          <w:szCs w:val="32"/>
          <w:lang w:val="en-US" w:eastAsia="zh-CN"/>
        </w:rPr>
      </w:pPr>
      <w:r>
        <w:rPr>
          <w:rFonts w:hint="eastAsia" w:ascii="黑体" w:hAnsi="黑体" w:eastAsia="黑体" w:cs="黑体"/>
          <w:sz w:val="32"/>
          <w:szCs w:val="32"/>
          <w:highlight w:val="none"/>
          <w:lang w:eastAsia="zh-CN"/>
        </w:rPr>
        <w:t>第六十三条</w:t>
      </w:r>
      <w:r>
        <w:rPr>
          <w:rFonts w:hint="eastAsia" w:ascii="仿宋" w:hAnsi="仿宋" w:eastAsia="仿宋_GB2312" w:cs="仿宋"/>
          <w:color w:val="000000"/>
          <w:sz w:val="32"/>
          <w:szCs w:val="32"/>
        </w:rPr>
        <w:t xml:space="preserve">  </w:t>
      </w:r>
      <w:r>
        <w:rPr>
          <w:rFonts w:hint="eastAsia" w:ascii="仿宋_GB2312" w:hAnsi="仿宋_GB2312" w:eastAsia="仿宋_GB2312" w:cs="仿宋_GB2312"/>
          <w:color w:val="000000"/>
          <w:sz w:val="32"/>
          <w:szCs w:val="32"/>
          <w:lang w:val="en-US" w:eastAsia="zh-CN"/>
        </w:rPr>
        <w:t>推动人工智能、物联网、云计算、大数据等信息技术在养老服务领域的应用，制订完善智慧养老相关产品和服务推广目录，重点扶持安全防护、照料护理、健康促进、情感关爱等领域的智能产品、服务及支持平台。</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鼓励互联网企业开发面向老年人各种活动场景的监测提醒功能，利用大数据方便老年人居家出行、健康管理和应急处置。</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组织开展老年人运用智能技术教育培训，引导老年人了解新事物、体验新科技、运用新技术。</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eastAsia" w:ascii="仿宋_GB2312" w:hAnsi="仿宋_GB2312" w:eastAsia="仿宋_GB2312" w:cs="仿宋_GB2312"/>
          <w:color w:val="000000"/>
          <w:sz w:val="32"/>
          <w:szCs w:val="32"/>
          <w:lang w:val="en-US" w:eastAsia="zh-CN"/>
        </w:rPr>
      </w:pPr>
      <w:r>
        <w:rPr>
          <w:rFonts w:hint="eastAsia" w:ascii="黑体" w:hAnsi="黑体" w:eastAsia="黑体" w:cs="黑体"/>
          <w:sz w:val="32"/>
          <w:szCs w:val="32"/>
          <w:highlight w:val="none"/>
          <w:lang w:eastAsia="zh-CN"/>
        </w:rPr>
        <w:t>第六十四条</w:t>
      </w:r>
      <w:r>
        <w:rPr>
          <w:rFonts w:hint="eastAsia" w:ascii="仿宋" w:hAnsi="仿宋" w:eastAsia="仿宋_GB2312" w:cs="仿宋"/>
          <w:color w:val="000000"/>
          <w:sz w:val="32"/>
          <w:szCs w:val="32"/>
        </w:rPr>
        <w:t xml:space="preserve">  </w:t>
      </w:r>
      <w:r>
        <w:rPr>
          <w:rFonts w:hint="eastAsia" w:ascii="仿宋_GB2312" w:hAnsi="仿宋_GB2312" w:eastAsia="仿宋_GB2312" w:cs="仿宋_GB2312"/>
          <w:color w:val="000000"/>
          <w:sz w:val="32"/>
          <w:szCs w:val="32"/>
          <w:lang w:val="en-US" w:eastAsia="zh-CN"/>
        </w:rPr>
        <w:t>县级以上地方人民政府应当拓展投融资渠道，鼓励更多社会资本和金融机构投向养老事业。</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鼓励金融机构通过银行贷款、融资租赁、信托计划等方式加大对养老服务的融资支持。促进养老普惠金融发展，支持金融机</w:t>
      </w:r>
      <w:r>
        <w:rPr>
          <w:rFonts w:hint="eastAsia" w:ascii="仿宋_GB2312" w:hAnsi="仿宋_GB2312" w:eastAsia="仿宋_GB2312" w:cs="仿宋_GB2312"/>
          <w:color w:val="000000"/>
          <w:spacing w:val="-11"/>
          <w:sz w:val="32"/>
          <w:szCs w:val="32"/>
          <w:lang w:val="en-US" w:eastAsia="zh-CN"/>
        </w:rPr>
        <w:t>构开发老年人储蓄、投资等满足老年人需求的多样化养老金融产品。</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鼓励保险机构将老年人预防保健、健康管理、康复护理等纳入保障范围，开发适合老年人实际需求的健康保险、人身意外伤害保险、长期护理保险、养老年金保险等产品。</w:t>
      </w:r>
    </w:p>
    <w:p>
      <w:pPr>
        <w:keepNext w:val="0"/>
        <w:keepLines w:val="0"/>
        <w:pageBreakBefore w:val="0"/>
        <w:widowControl w:val="0"/>
        <w:kinsoku/>
        <w:wordWrap/>
        <w:overflowPunct/>
        <w:topLinePunct w:val="0"/>
        <w:autoSpaceDE/>
        <w:autoSpaceDN/>
        <w:bidi w:val="0"/>
        <w:adjustRightInd/>
        <w:snapToGrid/>
        <w:spacing w:before="156" w:beforeLines="50" w:after="156" w:afterLines="50" w:line="560" w:lineRule="exact"/>
        <w:ind w:left="0" w:leftChars="0" w:right="0" w:rightChars="0" w:firstLine="0" w:firstLineChars="0"/>
        <w:jc w:val="center"/>
        <w:textAlignment w:val="auto"/>
        <w:outlineLvl w:val="9"/>
        <w:rPr>
          <w:rFonts w:hint="eastAsia" w:ascii="黑体" w:hAnsi="黑体" w:eastAsia="黑体" w:cs="黑体"/>
          <w:color w:val="000000"/>
          <w:sz w:val="32"/>
          <w:szCs w:val="32"/>
        </w:rPr>
      </w:pPr>
      <w:r>
        <w:rPr>
          <w:rFonts w:hint="eastAsia" w:ascii="黑体" w:hAnsi="黑体" w:eastAsia="黑体" w:cs="黑体"/>
          <w:color w:val="000000"/>
          <w:sz w:val="32"/>
          <w:szCs w:val="32"/>
        </w:rPr>
        <w:t>第</w:t>
      </w:r>
      <w:r>
        <w:rPr>
          <w:rFonts w:hint="eastAsia" w:ascii="黑体" w:hAnsi="黑体" w:eastAsia="黑体" w:cs="黑体"/>
          <w:color w:val="000000"/>
          <w:sz w:val="32"/>
          <w:szCs w:val="32"/>
          <w:lang w:eastAsia="zh-CN"/>
        </w:rPr>
        <w:t>八</w:t>
      </w:r>
      <w:r>
        <w:rPr>
          <w:rFonts w:hint="eastAsia" w:ascii="黑体" w:hAnsi="黑体" w:eastAsia="黑体" w:cs="黑体"/>
          <w:color w:val="000000"/>
          <w:sz w:val="32"/>
          <w:szCs w:val="32"/>
        </w:rPr>
        <w:t>章  监督管理</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eastAsia" w:ascii="仿宋_GB2312" w:hAnsi="仿宋_GB2312" w:eastAsia="仿宋_GB2312" w:cs="仿宋_GB2312"/>
          <w:color w:val="000000"/>
          <w:sz w:val="32"/>
          <w:szCs w:val="32"/>
          <w:lang w:val="en-US" w:eastAsia="zh-CN"/>
        </w:rPr>
      </w:pPr>
      <w:r>
        <w:rPr>
          <w:rFonts w:hint="eastAsia" w:ascii="黑体" w:hAnsi="黑体" w:eastAsia="黑体" w:cs="黑体"/>
          <w:sz w:val="32"/>
          <w:szCs w:val="32"/>
          <w:highlight w:val="none"/>
          <w:lang w:eastAsia="zh-CN"/>
        </w:rPr>
        <w:t>第六十五条</w:t>
      </w:r>
      <w:r>
        <w:rPr>
          <w:rFonts w:hint="eastAsia" w:ascii="仿宋" w:hAnsi="仿宋" w:eastAsia="仿宋_GB2312" w:cs="仿宋"/>
          <w:color w:val="000000"/>
          <w:sz w:val="32"/>
          <w:szCs w:val="32"/>
        </w:rPr>
        <w:t xml:space="preserve">  </w:t>
      </w:r>
      <w:r>
        <w:rPr>
          <w:rFonts w:hint="eastAsia" w:ascii="仿宋_GB2312" w:hAnsi="仿宋_GB2312" w:eastAsia="仿宋_GB2312" w:cs="仿宋_GB2312"/>
          <w:color w:val="000000"/>
          <w:sz w:val="32"/>
          <w:szCs w:val="32"/>
          <w:lang w:val="en-US" w:eastAsia="zh-CN"/>
        </w:rPr>
        <w:t>县级以上地方人民政府应当建立健全养老服务综合监管制度，制定养老服务监管责任清单，明确各相关职能部门的职责分工。</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eastAsia" w:ascii="仿宋_GB2312" w:hAnsi="仿宋_GB2312" w:eastAsia="仿宋_GB2312" w:cs="仿宋_GB2312"/>
          <w:color w:val="000000"/>
          <w:sz w:val="32"/>
          <w:szCs w:val="32"/>
          <w:lang w:val="en-US" w:eastAsia="zh-CN"/>
        </w:rPr>
      </w:pPr>
      <w:r>
        <w:rPr>
          <w:rFonts w:hint="eastAsia" w:ascii="黑体" w:hAnsi="黑体" w:eastAsia="黑体" w:cs="黑体"/>
          <w:sz w:val="32"/>
          <w:szCs w:val="32"/>
          <w:highlight w:val="none"/>
          <w:lang w:eastAsia="zh-CN"/>
        </w:rPr>
        <w:t>第六十六条</w:t>
      </w:r>
      <w:r>
        <w:rPr>
          <w:rFonts w:hint="eastAsia" w:ascii="仿宋" w:hAnsi="仿宋" w:eastAsia="仿宋_GB2312" w:cs="仿宋"/>
          <w:color w:val="auto"/>
          <w:sz w:val="32"/>
          <w:szCs w:val="32"/>
          <w:highlight w:val="none"/>
        </w:rPr>
        <w:t xml:space="preserve">  </w:t>
      </w:r>
      <w:r>
        <w:rPr>
          <w:rFonts w:hint="eastAsia" w:ascii="仿宋_GB2312" w:hAnsi="仿宋_GB2312" w:eastAsia="仿宋_GB2312" w:cs="仿宋_GB2312"/>
          <w:color w:val="000000"/>
          <w:sz w:val="32"/>
          <w:szCs w:val="32"/>
          <w:lang w:val="en-US" w:eastAsia="zh-CN"/>
        </w:rPr>
        <w:t>健全完善省级养老服务综合信息平台，实现养老服务信息与户籍、医疗、社会保险、社会救助等信息跨区域、跨部门互通共享，推进养老服务及监管的智慧化应用。</w:t>
      </w:r>
    </w:p>
    <w:p>
      <w:pPr>
        <w:pStyle w:val="2"/>
        <w:keepNext w:val="0"/>
        <w:keepLines w:val="0"/>
        <w:pageBreakBefore w:val="0"/>
        <w:widowControl w:val="0"/>
        <w:kinsoku/>
        <w:wordWrap/>
        <w:overflowPunct/>
        <w:topLinePunct w:val="0"/>
        <w:bidi w:val="0"/>
        <w:snapToGrid/>
        <w:spacing w:line="560" w:lineRule="exact"/>
        <w:ind w:left="0" w:leftChars="0" w:right="0" w:rightChars="0" w:firstLine="640"/>
        <w:jc w:val="both"/>
        <w:textAlignment w:val="auto"/>
        <w:outlineLvl w:val="9"/>
        <w:rPr>
          <w:rFonts w:hint="eastAsia" w:ascii="仿宋_GB2312" w:hAnsi="仿宋_GB2312" w:eastAsia="仿宋_GB2312" w:cs="仿宋_GB2312"/>
          <w:color w:val="000000"/>
          <w:kern w:val="2"/>
          <w:sz w:val="32"/>
          <w:szCs w:val="32"/>
          <w:lang w:val="en-US" w:eastAsia="zh-CN" w:bidi="ar-SA"/>
        </w:rPr>
      </w:pPr>
      <w:r>
        <w:rPr>
          <w:rFonts w:hint="eastAsia" w:ascii="仿宋_GB2312" w:hAnsi="仿宋_GB2312" w:eastAsia="仿宋_GB2312" w:cs="仿宋_GB2312"/>
          <w:color w:val="000000"/>
          <w:kern w:val="2"/>
          <w:sz w:val="32"/>
          <w:szCs w:val="32"/>
          <w:lang w:val="en-US" w:eastAsia="zh-CN" w:bidi="ar-SA"/>
        </w:rPr>
        <w:t>县级以上地方人民政府卫生健康部门应当建立健全老年人电子健康档案，推动以身份证号码作为统一识别码，实现不同医疗机构之间信息互通互享。</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eastAsia" w:ascii="仿宋" w:hAnsi="仿宋" w:eastAsia="仿宋_GB2312" w:cs="仿宋"/>
          <w:color w:val="000000"/>
          <w:sz w:val="32"/>
          <w:szCs w:val="32"/>
        </w:rPr>
      </w:pPr>
      <w:r>
        <w:rPr>
          <w:rFonts w:hint="eastAsia" w:ascii="黑体" w:hAnsi="黑体" w:eastAsia="黑体" w:cs="黑体"/>
          <w:sz w:val="32"/>
          <w:szCs w:val="32"/>
          <w:highlight w:val="none"/>
          <w:lang w:eastAsia="zh-CN"/>
        </w:rPr>
        <w:t>第六十七条</w:t>
      </w:r>
      <w:r>
        <w:rPr>
          <w:rFonts w:hint="eastAsia" w:ascii="仿宋" w:hAnsi="仿宋" w:eastAsia="仿宋_GB2312" w:cs="仿宋"/>
          <w:color w:val="000000"/>
          <w:sz w:val="32"/>
          <w:szCs w:val="32"/>
        </w:rPr>
        <w:t xml:space="preserve">  县级以上地方人民政府应当开展养老服务需求和供给状况调查，建立养老服务统计监测和信息发布制度。</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eastAsia" w:ascii="仿宋_GB2312" w:hAnsi="仿宋_GB2312" w:eastAsia="仿宋_GB2312" w:cs="仿宋_GB2312"/>
          <w:color w:val="000000"/>
          <w:sz w:val="32"/>
          <w:szCs w:val="32"/>
          <w:lang w:val="en-US" w:eastAsia="zh-CN"/>
        </w:rPr>
      </w:pPr>
      <w:r>
        <w:rPr>
          <w:rFonts w:hint="eastAsia" w:ascii="黑体" w:hAnsi="黑体" w:eastAsia="黑体" w:cs="黑体"/>
          <w:sz w:val="32"/>
          <w:szCs w:val="32"/>
          <w:highlight w:val="none"/>
          <w:lang w:eastAsia="zh-CN"/>
        </w:rPr>
        <w:t>第六十八条</w:t>
      </w:r>
      <w:r>
        <w:rPr>
          <w:rFonts w:hint="eastAsia" w:ascii="仿宋" w:hAnsi="仿宋" w:eastAsia="仿宋_GB2312" w:cs="仿宋"/>
          <w:color w:val="000000"/>
          <w:sz w:val="32"/>
          <w:szCs w:val="32"/>
        </w:rPr>
        <w:t xml:space="preserve">  </w:t>
      </w:r>
      <w:r>
        <w:rPr>
          <w:rFonts w:hint="eastAsia" w:ascii="仿宋_GB2312" w:hAnsi="仿宋_GB2312" w:eastAsia="仿宋_GB2312" w:cs="仿宋_GB2312"/>
          <w:color w:val="000000"/>
          <w:sz w:val="32"/>
          <w:szCs w:val="32"/>
          <w:lang w:val="en-US" w:eastAsia="zh-CN"/>
        </w:rPr>
        <w:t>县级以上地方人民政府应当建立老年人能力综合评估和养老服务质量评估制度，推进养老服务规范化、标准化建设。评估结果应当按照有关规定向社会公开，并作为享受相关补贴的基本依据。</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省人民政府民政部门应当会同市场监督管理等部门制定养老服务相关标准，建立健全养老服务标准体系，并对标准的实施情况进行监督检查。</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eastAsia" w:ascii="仿宋_GB2312" w:hAnsi="仿宋_GB2312" w:eastAsia="仿宋_GB2312" w:cs="仿宋_GB2312"/>
          <w:color w:val="000000"/>
          <w:sz w:val="32"/>
          <w:szCs w:val="32"/>
          <w:lang w:val="en-US" w:eastAsia="zh-CN"/>
        </w:rPr>
      </w:pPr>
      <w:r>
        <w:rPr>
          <w:rFonts w:hint="eastAsia" w:ascii="黑体" w:hAnsi="黑体" w:eastAsia="黑体" w:cs="黑体"/>
          <w:sz w:val="32"/>
          <w:szCs w:val="32"/>
          <w:highlight w:val="none"/>
          <w:lang w:eastAsia="zh-CN"/>
        </w:rPr>
        <w:t>第六十九条</w:t>
      </w:r>
      <w:r>
        <w:rPr>
          <w:rFonts w:hint="eastAsia" w:ascii="仿宋" w:hAnsi="仿宋" w:eastAsia="仿宋_GB2312" w:cs="仿宋"/>
          <w:color w:val="000000"/>
          <w:sz w:val="32"/>
          <w:szCs w:val="32"/>
        </w:rPr>
        <w:t xml:space="preserve">  </w:t>
      </w:r>
      <w:r>
        <w:rPr>
          <w:rFonts w:hint="eastAsia" w:ascii="仿宋_GB2312" w:hAnsi="仿宋_GB2312" w:eastAsia="仿宋_GB2312" w:cs="仿宋_GB2312"/>
          <w:color w:val="000000"/>
          <w:sz w:val="32"/>
          <w:szCs w:val="32"/>
          <w:lang w:val="en-US" w:eastAsia="zh-CN"/>
        </w:rPr>
        <w:t>县级以上地方人民政府及其公安、民政、金融管理等部门应当对养老服务领域非法集资、诈骗等违法犯罪行为的有关情况进行监测和分析，做好相关预防和处置工作。</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养老服务机构收取预付费、押金应当规范适度，开立预收费资金托管专用账户，相关资金不得挪作他用。县级以上地方人民政府民政部门应当会同有关部门加强养老服务机构预付费、押金管理，并制定具体管理办法。</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eastAsia" w:ascii="仿宋_GB2312" w:hAnsi="仿宋_GB2312" w:eastAsia="仿宋_GB2312" w:cs="仿宋_GB2312"/>
          <w:color w:val="000000"/>
          <w:sz w:val="32"/>
          <w:szCs w:val="32"/>
          <w:lang w:val="en-US" w:eastAsia="zh-CN"/>
        </w:rPr>
      </w:pPr>
      <w:r>
        <w:rPr>
          <w:rFonts w:hint="eastAsia" w:ascii="黑体" w:hAnsi="黑体" w:eastAsia="黑体" w:cs="黑体"/>
          <w:sz w:val="32"/>
          <w:szCs w:val="32"/>
          <w:highlight w:val="none"/>
          <w:lang w:eastAsia="zh-CN"/>
        </w:rPr>
        <w:t>第七十条</w:t>
      </w:r>
      <w:r>
        <w:rPr>
          <w:rFonts w:hint="eastAsia" w:ascii="仿宋" w:hAnsi="仿宋" w:eastAsia="仿宋_GB2312" w:cs="仿宋"/>
          <w:color w:val="000000"/>
          <w:sz w:val="32"/>
          <w:szCs w:val="32"/>
        </w:rPr>
        <w:t xml:space="preserve">  </w:t>
      </w:r>
      <w:r>
        <w:rPr>
          <w:rFonts w:hint="eastAsia" w:ascii="仿宋_GB2312" w:hAnsi="仿宋_GB2312" w:eastAsia="仿宋_GB2312" w:cs="仿宋_GB2312"/>
          <w:color w:val="000000"/>
          <w:sz w:val="32"/>
          <w:szCs w:val="32"/>
          <w:lang w:val="en-US" w:eastAsia="zh-CN"/>
        </w:rPr>
        <w:t>县级以上地方人民政府民政、卫生健康、医疗保障等部门应当按照各自职责，依法受理与养老服务相关的投诉、举报。对接到的投诉、举报应当及时核实处理，并及时将处理结果告知投诉人、举报人。</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eastAsia" w:ascii="仿宋" w:hAnsi="仿宋" w:eastAsia="仿宋_GB2312" w:cs="仿宋"/>
          <w:color w:val="000000"/>
          <w:sz w:val="32"/>
          <w:szCs w:val="32"/>
        </w:rPr>
      </w:pPr>
      <w:r>
        <w:rPr>
          <w:rFonts w:hint="eastAsia" w:ascii="黑体" w:hAnsi="黑体" w:eastAsia="黑体" w:cs="黑体"/>
          <w:sz w:val="32"/>
          <w:szCs w:val="32"/>
          <w:highlight w:val="none"/>
          <w:lang w:eastAsia="zh-CN"/>
        </w:rPr>
        <w:t>第七十一条</w:t>
      </w:r>
      <w:r>
        <w:rPr>
          <w:rFonts w:hint="eastAsia" w:ascii="黑体" w:hAnsi="黑体" w:eastAsia="黑体" w:cs="黑体"/>
          <w:sz w:val="32"/>
          <w:szCs w:val="32"/>
          <w:highlight w:val="none"/>
          <w:lang w:val="en-US" w:eastAsia="zh-CN"/>
        </w:rPr>
        <w:t xml:space="preserve"> </w:t>
      </w:r>
      <w:r>
        <w:rPr>
          <w:rFonts w:hint="eastAsia" w:ascii="仿宋" w:hAnsi="仿宋" w:eastAsia="仿宋_GB2312" w:cs="仿宋"/>
          <w:color w:val="000000"/>
          <w:sz w:val="32"/>
          <w:szCs w:val="32"/>
        </w:rPr>
        <w:t xml:space="preserve"> 养老服务行业组织应当加强行业自律和诚信建设，推动养老服务标准实施，规范服务行为，提升服务质量。</w:t>
      </w:r>
    </w:p>
    <w:p>
      <w:pPr>
        <w:keepNext w:val="0"/>
        <w:keepLines w:val="0"/>
        <w:pageBreakBefore w:val="0"/>
        <w:widowControl w:val="0"/>
        <w:kinsoku/>
        <w:wordWrap/>
        <w:overflowPunct/>
        <w:topLinePunct w:val="0"/>
        <w:autoSpaceDE/>
        <w:autoSpaceDN/>
        <w:bidi w:val="0"/>
        <w:adjustRightInd/>
        <w:snapToGrid/>
        <w:spacing w:before="156" w:beforeLines="50" w:after="156" w:afterLines="50" w:line="560" w:lineRule="exact"/>
        <w:ind w:left="0" w:leftChars="0" w:right="0" w:rightChars="0" w:firstLine="0" w:firstLineChars="0"/>
        <w:jc w:val="center"/>
        <w:textAlignment w:val="auto"/>
        <w:outlineLvl w:val="9"/>
        <w:rPr>
          <w:rFonts w:hint="eastAsia" w:ascii="黑体" w:hAnsi="黑体" w:eastAsia="黑体" w:cs="黑体"/>
          <w:color w:val="000000"/>
          <w:sz w:val="32"/>
          <w:szCs w:val="32"/>
        </w:rPr>
      </w:pPr>
      <w:r>
        <w:rPr>
          <w:rFonts w:hint="eastAsia" w:ascii="黑体" w:hAnsi="黑体" w:eastAsia="黑体" w:cs="黑体"/>
          <w:color w:val="000000"/>
          <w:sz w:val="32"/>
          <w:szCs w:val="32"/>
        </w:rPr>
        <w:t>第</w:t>
      </w:r>
      <w:r>
        <w:rPr>
          <w:rFonts w:hint="eastAsia" w:ascii="黑体" w:hAnsi="黑体" w:eastAsia="黑体" w:cs="黑体"/>
          <w:color w:val="000000"/>
          <w:sz w:val="32"/>
          <w:szCs w:val="32"/>
          <w:lang w:eastAsia="zh-CN"/>
        </w:rPr>
        <w:t>九</w:t>
      </w:r>
      <w:r>
        <w:rPr>
          <w:rFonts w:hint="eastAsia" w:ascii="黑体" w:hAnsi="黑体" w:eastAsia="黑体" w:cs="黑体"/>
          <w:color w:val="000000"/>
          <w:sz w:val="32"/>
          <w:szCs w:val="32"/>
        </w:rPr>
        <w:t>章  法律责任</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eastAsia" w:ascii="仿宋" w:hAnsi="仿宋" w:eastAsia="仿宋_GB2312" w:cs="仿宋"/>
          <w:color w:val="000000"/>
          <w:sz w:val="32"/>
          <w:szCs w:val="32"/>
        </w:rPr>
      </w:pPr>
      <w:r>
        <w:rPr>
          <w:rFonts w:hint="eastAsia" w:ascii="黑体" w:hAnsi="黑体" w:eastAsia="黑体" w:cs="黑体"/>
          <w:sz w:val="32"/>
          <w:szCs w:val="32"/>
          <w:highlight w:val="none"/>
          <w:lang w:eastAsia="zh-CN"/>
        </w:rPr>
        <w:t>第七十二条</w:t>
      </w:r>
      <w:r>
        <w:rPr>
          <w:rFonts w:hint="eastAsia" w:ascii="仿宋" w:hAnsi="仿宋" w:eastAsia="仿宋_GB2312" w:cs="仿宋"/>
          <w:color w:val="000000"/>
          <w:sz w:val="32"/>
          <w:szCs w:val="32"/>
        </w:rPr>
        <w:t xml:space="preserve">  违反本条例规定的行为，法律、行政法规已有法律责任规定的，从其规定。</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eastAsia" w:ascii="仿宋" w:hAnsi="仿宋" w:eastAsia="仿宋_GB2312" w:cs="仿宋"/>
          <w:color w:val="000000"/>
          <w:sz w:val="32"/>
          <w:szCs w:val="32"/>
          <w:lang w:val="en-US" w:eastAsia="zh-CN"/>
        </w:rPr>
      </w:pPr>
      <w:r>
        <w:rPr>
          <w:rFonts w:hint="eastAsia" w:ascii="黑体" w:hAnsi="黑体" w:eastAsia="黑体" w:cs="黑体"/>
          <w:sz w:val="32"/>
          <w:szCs w:val="32"/>
          <w:highlight w:val="none"/>
          <w:lang w:eastAsia="zh-CN"/>
        </w:rPr>
        <w:t>第七十三条</w:t>
      </w:r>
      <w:r>
        <w:rPr>
          <w:rFonts w:hint="eastAsia" w:ascii="仿宋" w:hAnsi="仿宋" w:eastAsia="仿宋_GB2312" w:cs="仿宋"/>
          <w:color w:val="000000"/>
          <w:sz w:val="32"/>
          <w:szCs w:val="32"/>
        </w:rPr>
        <w:t xml:space="preserve">  养</w:t>
      </w:r>
      <w:r>
        <w:rPr>
          <w:rFonts w:hint="eastAsia" w:ascii="仿宋" w:hAnsi="仿宋" w:eastAsia="仿宋_GB2312" w:cs="仿宋"/>
          <w:color w:val="000000"/>
          <w:sz w:val="32"/>
          <w:szCs w:val="32"/>
          <w:lang w:val="en-US" w:eastAsia="zh-CN"/>
        </w:rPr>
        <w:t>老服务机构有下列行为之一的，由县级以上地方人民政府民政部门责令改正，给予警告；情节严重的，处以三万元以下的罚款；侵害老年人人身、财产权益的，依法承担民事责任；构成犯罪的，依法追究刑事责任：</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eastAsia" w:ascii="仿宋" w:hAnsi="仿宋" w:eastAsia="仿宋_GB2312" w:cs="仿宋"/>
          <w:color w:val="000000"/>
          <w:sz w:val="32"/>
          <w:szCs w:val="32"/>
          <w:lang w:val="en-US" w:eastAsia="zh-CN"/>
        </w:rPr>
      </w:pPr>
      <w:r>
        <w:rPr>
          <w:rFonts w:hint="eastAsia" w:ascii="仿宋" w:hAnsi="仿宋" w:eastAsia="仿宋_GB2312" w:cs="仿宋"/>
          <w:color w:val="000000"/>
          <w:sz w:val="32"/>
          <w:szCs w:val="32"/>
          <w:lang w:eastAsia="zh-CN"/>
        </w:rPr>
        <w:t>（一）</w:t>
      </w:r>
      <w:r>
        <w:rPr>
          <w:rFonts w:hint="eastAsia" w:ascii="仿宋" w:hAnsi="仿宋" w:eastAsia="仿宋_GB2312" w:cs="仿宋"/>
          <w:color w:val="000000"/>
          <w:sz w:val="32"/>
          <w:szCs w:val="32"/>
          <w:lang w:val="en-US" w:eastAsia="zh-CN"/>
        </w:rPr>
        <w:t>未按照国家和本省有关规范标准提供服务的；</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eastAsia" w:ascii="仿宋" w:hAnsi="仿宋" w:eastAsia="仿宋_GB2312" w:cs="仿宋"/>
          <w:color w:val="000000"/>
          <w:sz w:val="32"/>
          <w:szCs w:val="32"/>
          <w:lang w:val="en-US" w:eastAsia="zh-CN"/>
        </w:rPr>
      </w:pPr>
      <w:r>
        <w:rPr>
          <w:rFonts w:hint="eastAsia" w:ascii="仿宋" w:hAnsi="仿宋" w:eastAsia="仿宋_GB2312" w:cs="仿宋"/>
          <w:color w:val="000000"/>
          <w:sz w:val="32"/>
          <w:szCs w:val="32"/>
          <w:lang w:eastAsia="zh-CN"/>
        </w:rPr>
        <w:t>（二）</w:t>
      </w:r>
      <w:r>
        <w:rPr>
          <w:rFonts w:hint="eastAsia" w:ascii="仿宋" w:hAnsi="仿宋" w:eastAsia="仿宋_GB2312" w:cs="仿宋"/>
          <w:color w:val="000000"/>
          <w:sz w:val="32"/>
          <w:szCs w:val="32"/>
          <w:lang w:val="en-US" w:eastAsia="zh-CN"/>
        </w:rPr>
        <w:t>配备人员不符合规定的；</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eastAsia" w:ascii="仿宋_GB2312" w:hAnsi="仿宋_GB2312" w:eastAsia="仿宋_GB2312" w:cs="仿宋_GB2312"/>
          <w:color w:val="000000"/>
          <w:spacing w:val="-6"/>
          <w:sz w:val="32"/>
          <w:szCs w:val="32"/>
          <w:lang w:val="en-US" w:eastAsia="zh-CN"/>
        </w:rPr>
      </w:pPr>
      <w:r>
        <w:rPr>
          <w:rFonts w:hint="eastAsia" w:ascii="仿宋" w:hAnsi="仿宋" w:eastAsia="仿宋_GB2312" w:cs="仿宋"/>
          <w:color w:val="000000"/>
          <w:sz w:val="32"/>
          <w:szCs w:val="32"/>
          <w:lang w:eastAsia="zh-CN"/>
        </w:rPr>
        <w:t>（三）</w:t>
      </w:r>
      <w:r>
        <w:rPr>
          <w:rFonts w:hint="eastAsia" w:ascii="仿宋_GB2312" w:hAnsi="仿宋_GB2312" w:eastAsia="仿宋_GB2312" w:cs="仿宋_GB2312"/>
          <w:color w:val="000000"/>
          <w:spacing w:val="-6"/>
          <w:sz w:val="32"/>
          <w:szCs w:val="32"/>
          <w:lang w:val="en-US" w:eastAsia="zh-CN"/>
        </w:rPr>
        <w:t>利用养老服务设施开展与养老服务宗旨无关的活动的；</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eastAsia" w:ascii="仿宋" w:hAnsi="仿宋" w:eastAsia="仿宋_GB2312" w:cs="仿宋"/>
          <w:color w:val="000000"/>
          <w:sz w:val="32"/>
          <w:szCs w:val="32"/>
          <w:lang w:val="en-US" w:eastAsia="zh-CN"/>
        </w:rPr>
      </w:pPr>
      <w:r>
        <w:rPr>
          <w:rFonts w:hint="eastAsia" w:ascii="仿宋" w:hAnsi="仿宋" w:eastAsia="仿宋_GB2312" w:cs="仿宋"/>
          <w:color w:val="000000"/>
          <w:sz w:val="32"/>
          <w:szCs w:val="32"/>
          <w:lang w:val="en-US" w:eastAsia="zh-CN"/>
        </w:rPr>
        <w:t>（四）侮辱、虐待老年人以及其他侵害老年人人身和财产权益行为的；</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eastAsia" w:ascii="仿宋" w:hAnsi="仿宋" w:eastAsia="仿宋_GB2312" w:cs="仿宋"/>
          <w:color w:val="000000"/>
          <w:sz w:val="32"/>
          <w:szCs w:val="32"/>
          <w:lang w:val="en-US" w:eastAsia="zh-CN"/>
        </w:rPr>
      </w:pPr>
      <w:r>
        <w:rPr>
          <w:rFonts w:hint="eastAsia" w:ascii="仿宋" w:hAnsi="仿宋" w:eastAsia="仿宋_GB2312" w:cs="仿宋"/>
          <w:color w:val="000000"/>
          <w:sz w:val="32"/>
          <w:szCs w:val="32"/>
          <w:lang w:val="en-US" w:eastAsia="zh-CN"/>
        </w:rPr>
        <w:t>（五）对负责监督检查的民政部门隐瞒有关情况、提供虚假材料或者拒绝提供反映其活动情况真实材料的。</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eastAsia" w:ascii="黑体" w:eastAsia="黑体"/>
          <w:color w:val="auto"/>
          <w:spacing w:val="0"/>
          <w:sz w:val="32"/>
          <w:szCs w:val="32"/>
          <w:lang w:eastAsia="zh-CN"/>
        </w:rPr>
      </w:pPr>
      <w:r>
        <w:rPr>
          <w:rFonts w:hint="eastAsia" w:ascii="仿宋" w:hAnsi="仿宋" w:eastAsia="仿宋_GB2312" w:cs="仿宋"/>
          <w:color w:val="000000"/>
          <w:sz w:val="32"/>
          <w:szCs w:val="32"/>
          <w:lang w:val="en-US" w:eastAsia="zh-CN"/>
        </w:rPr>
        <w:t>对有前款所列行为之一的养老服务机构，有关部门可以中止或者取消优惠扶持措施；情节严重的，追回已经减免的费用和发放的补助、补贴。养老服务机构经整改消除前款所列行</w:t>
      </w:r>
      <w:r>
        <w:rPr>
          <w:rFonts w:hint="eastAsia" w:ascii="仿宋" w:hAnsi="仿宋" w:eastAsia="仿宋_GB2312" w:cs="仿宋"/>
          <w:color w:val="000000"/>
          <w:sz w:val="32"/>
          <w:szCs w:val="32"/>
        </w:rPr>
        <w:t>为的，可以恢复或者重新申请相关优惠扶持措施。</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eastAsia" w:ascii="仿宋" w:hAnsi="仿宋" w:eastAsia="仿宋_GB2312" w:cs="仿宋"/>
          <w:color w:val="000000"/>
          <w:sz w:val="32"/>
          <w:szCs w:val="32"/>
        </w:rPr>
      </w:pPr>
      <w:r>
        <w:rPr>
          <w:rFonts w:hint="eastAsia" w:ascii="黑体" w:hAnsi="黑体" w:eastAsia="黑体" w:cs="黑体"/>
          <w:sz w:val="32"/>
          <w:szCs w:val="32"/>
          <w:highlight w:val="none"/>
          <w:lang w:eastAsia="zh-CN"/>
        </w:rPr>
        <w:t>第七十四条</w:t>
      </w:r>
      <w:r>
        <w:rPr>
          <w:rFonts w:hint="eastAsia" w:ascii="仿宋" w:hAnsi="仿宋" w:eastAsia="仿宋_GB2312" w:cs="仿宋"/>
          <w:color w:val="auto"/>
          <w:sz w:val="32"/>
          <w:szCs w:val="32"/>
        </w:rPr>
        <w:t xml:space="preserve"> </w:t>
      </w:r>
      <w:r>
        <w:rPr>
          <w:rFonts w:hint="eastAsia" w:ascii="仿宋" w:hAnsi="仿宋" w:eastAsia="仿宋_GB2312" w:cs="仿宋"/>
          <w:color w:val="000000"/>
          <w:sz w:val="32"/>
          <w:szCs w:val="32"/>
        </w:rPr>
        <w:t xml:space="preserve"> 养老服务机构或者其他组织、个人骗取补贴、补助、奖励的，由县级以上地方人民政府民</w:t>
      </w:r>
      <w:r>
        <w:rPr>
          <w:rFonts w:hint="eastAsia" w:ascii="仿宋" w:hAnsi="仿宋" w:eastAsia="仿宋_GB2312" w:cs="仿宋"/>
          <w:color w:val="000000"/>
          <w:sz w:val="32"/>
          <w:szCs w:val="32"/>
          <w:lang w:val="en-US" w:eastAsia="zh-CN"/>
        </w:rPr>
        <w:t>政部门责令退回，并处以骗取补贴、补助、奖励金额一倍以上三倍以下罚款；构成违反治安管理行为的，由</w:t>
      </w:r>
      <w:r>
        <w:rPr>
          <w:rFonts w:hint="eastAsia" w:ascii="仿宋" w:hAnsi="仿宋" w:eastAsia="仿宋_GB2312" w:cs="仿宋"/>
          <w:color w:val="000000"/>
          <w:sz w:val="32"/>
          <w:szCs w:val="32"/>
        </w:rPr>
        <w:t>公安机关依法给予处罚；构成犯罪的，依法追究刑事责任。</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eastAsia" w:ascii="仿宋" w:hAnsi="仿宋" w:eastAsia="仿宋_GB2312" w:cs="仿宋"/>
          <w:color w:val="000000"/>
          <w:sz w:val="32"/>
          <w:szCs w:val="32"/>
          <w:lang w:val="en-US" w:eastAsia="zh-CN"/>
        </w:rPr>
      </w:pPr>
      <w:r>
        <w:rPr>
          <w:rFonts w:hint="eastAsia" w:ascii="黑体" w:hAnsi="黑体" w:eastAsia="黑体" w:cs="黑体"/>
          <w:sz w:val="32"/>
          <w:szCs w:val="32"/>
          <w:highlight w:val="none"/>
          <w:lang w:eastAsia="zh-CN"/>
        </w:rPr>
        <w:t>第七十五条</w:t>
      </w:r>
      <w:r>
        <w:rPr>
          <w:rFonts w:hint="eastAsia" w:ascii="仿宋" w:hAnsi="仿宋" w:eastAsia="仿宋_GB2312" w:cs="仿宋"/>
          <w:color w:val="000000"/>
          <w:sz w:val="32"/>
          <w:szCs w:val="32"/>
        </w:rPr>
        <w:t xml:space="preserve">  </w:t>
      </w:r>
      <w:r>
        <w:rPr>
          <w:rFonts w:hint="eastAsia" w:ascii="仿宋" w:hAnsi="仿宋" w:eastAsia="仿宋_GB2312" w:cs="仿宋"/>
          <w:color w:val="000000"/>
          <w:sz w:val="32"/>
          <w:szCs w:val="32"/>
          <w:lang w:val="en-US" w:eastAsia="zh-CN"/>
        </w:rPr>
        <w:t>养老服务从业人员违反本条例第五十二条规定，侵犯老年人合法权益的，应当依法承担民事责任；构成违反治安管理行为的，由公安机关依法给予处罚，并实施信用惩戒；构成犯罪的，依法追究刑事责任。</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eastAsia" w:ascii="仿宋" w:hAnsi="仿宋" w:eastAsia="仿宋_GB2312" w:cs="仿宋"/>
          <w:color w:val="000000"/>
          <w:sz w:val="32"/>
          <w:szCs w:val="32"/>
        </w:rPr>
      </w:pPr>
      <w:r>
        <w:rPr>
          <w:rFonts w:hint="eastAsia" w:ascii="黑体" w:hAnsi="黑体" w:eastAsia="黑体" w:cs="黑体"/>
          <w:sz w:val="32"/>
          <w:szCs w:val="32"/>
          <w:highlight w:val="none"/>
          <w:lang w:eastAsia="zh-CN"/>
        </w:rPr>
        <w:t>第七十六条</w:t>
      </w:r>
      <w:r>
        <w:rPr>
          <w:rFonts w:hint="eastAsia" w:ascii="黑体" w:eastAsia="黑体"/>
          <w:color w:val="000000"/>
          <w:spacing w:val="0"/>
          <w:sz w:val="32"/>
          <w:szCs w:val="32"/>
          <w:lang w:val="en-US" w:eastAsia="zh-CN"/>
        </w:rPr>
        <w:t xml:space="preserve">  </w:t>
      </w:r>
      <w:r>
        <w:rPr>
          <w:rFonts w:hint="eastAsia" w:ascii="仿宋" w:hAnsi="仿宋" w:eastAsia="仿宋_GB2312" w:cs="仿宋"/>
          <w:color w:val="000000"/>
          <w:sz w:val="32"/>
          <w:szCs w:val="32"/>
        </w:rPr>
        <w:t>有关部门及其工作人员未依法履行监督管理职责或者有其他滥用职权、玩忽职守、徇私舞弊行为的，由有权机关责令限期改正；情节严重的，对直接负责的主管人员和其他直接责任人员依法给予处分；构成犯罪的，依法追究刑事责任。</w:t>
      </w:r>
    </w:p>
    <w:p>
      <w:pPr>
        <w:keepNext w:val="0"/>
        <w:keepLines w:val="0"/>
        <w:pageBreakBefore w:val="0"/>
        <w:widowControl w:val="0"/>
        <w:kinsoku/>
        <w:wordWrap/>
        <w:overflowPunct/>
        <w:topLinePunct w:val="0"/>
        <w:autoSpaceDE/>
        <w:autoSpaceDN/>
        <w:bidi w:val="0"/>
        <w:adjustRightInd/>
        <w:snapToGrid/>
        <w:spacing w:before="156" w:beforeLines="50" w:after="156" w:afterLines="50" w:line="560" w:lineRule="exact"/>
        <w:ind w:left="0" w:leftChars="0" w:right="0" w:rightChars="0" w:firstLine="0" w:firstLineChars="0"/>
        <w:jc w:val="center"/>
        <w:textAlignment w:val="auto"/>
        <w:outlineLvl w:val="9"/>
        <w:rPr>
          <w:rFonts w:hint="eastAsia" w:ascii="黑体" w:hAnsi="黑体" w:eastAsia="黑体" w:cs="黑体"/>
          <w:color w:val="000000"/>
          <w:sz w:val="32"/>
          <w:szCs w:val="32"/>
        </w:rPr>
      </w:pPr>
      <w:r>
        <w:rPr>
          <w:rFonts w:hint="eastAsia" w:ascii="黑体" w:hAnsi="黑体" w:eastAsia="黑体" w:cs="黑体"/>
          <w:color w:val="000000"/>
          <w:sz w:val="32"/>
          <w:szCs w:val="32"/>
        </w:rPr>
        <w:t>第</w:t>
      </w:r>
      <w:r>
        <w:rPr>
          <w:rFonts w:hint="eastAsia" w:ascii="黑体" w:hAnsi="黑体" w:eastAsia="黑体" w:cs="黑体"/>
          <w:color w:val="000000"/>
          <w:sz w:val="32"/>
          <w:szCs w:val="32"/>
          <w:lang w:eastAsia="zh-CN"/>
        </w:rPr>
        <w:t>十</w:t>
      </w:r>
      <w:r>
        <w:rPr>
          <w:rFonts w:hint="eastAsia" w:ascii="黑体" w:hAnsi="黑体" w:eastAsia="黑体" w:cs="黑体"/>
          <w:color w:val="000000"/>
          <w:sz w:val="32"/>
          <w:szCs w:val="32"/>
        </w:rPr>
        <w:t xml:space="preserve">章  附 </w:t>
      </w:r>
      <w:r>
        <w:rPr>
          <w:rFonts w:hint="eastAsia" w:ascii="黑体" w:hAnsi="黑体" w:eastAsia="黑体" w:cs="黑体"/>
          <w:color w:val="000000"/>
          <w:sz w:val="32"/>
          <w:szCs w:val="32"/>
          <w:lang w:val="en-US" w:eastAsia="zh-CN"/>
        </w:rPr>
        <w:t xml:space="preserve">  </w:t>
      </w:r>
      <w:r>
        <w:rPr>
          <w:rFonts w:hint="eastAsia" w:ascii="黑体" w:hAnsi="黑体" w:eastAsia="黑体" w:cs="黑体"/>
          <w:color w:val="000000"/>
          <w:sz w:val="32"/>
          <w:szCs w:val="32"/>
        </w:rPr>
        <w:t xml:space="preserve"> 则</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eastAsia" w:ascii="仿宋" w:hAnsi="仿宋" w:eastAsia="仿宋_GB2312" w:cs="仿宋"/>
          <w:color w:val="000000"/>
          <w:sz w:val="32"/>
          <w:szCs w:val="32"/>
          <w:lang w:val="en-US" w:eastAsia="zh-CN"/>
        </w:rPr>
      </w:pPr>
      <w:r>
        <w:rPr>
          <w:rFonts w:hint="eastAsia" w:ascii="黑体" w:hAnsi="黑体" w:eastAsia="黑体" w:cs="黑体"/>
          <w:sz w:val="32"/>
          <w:szCs w:val="32"/>
          <w:highlight w:val="none"/>
          <w:lang w:eastAsia="zh-CN"/>
        </w:rPr>
        <w:t>第七十七条</w:t>
      </w:r>
      <w:r>
        <w:rPr>
          <w:rFonts w:hint="eastAsia" w:ascii="黑体" w:hAnsi="黑体" w:eastAsia="黑体" w:cs="黑体"/>
          <w:sz w:val="32"/>
          <w:szCs w:val="32"/>
          <w:highlight w:val="none"/>
          <w:lang w:val="en-US" w:eastAsia="zh-CN"/>
        </w:rPr>
        <w:t xml:space="preserve">  </w:t>
      </w:r>
      <w:r>
        <w:rPr>
          <w:rFonts w:hint="eastAsia" w:ascii="仿宋" w:hAnsi="仿宋" w:eastAsia="仿宋_GB2312" w:cs="仿宋"/>
          <w:color w:val="000000"/>
          <w:sz w:val="32"/>
          <w:szCs w:val="32"/>
          <w:lang w:val="en-US" w:eastAsia="zh-CN"/>
        </w:rPr>
        <w:t>本条例下列用语的含义：</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eastAsia" w:ascii="仿宋" w:hAnsi="仿宋" w:eastAsia="仿宋_GB2312" w:cs="仿宋"/>
          <w:color w:val="000000"/>
          <w:sz w:val="32"/>
          <w:szCs w:val="32"/>
          <w:lang w:val="en-US" w:eastAsia="zh-CN"/>
        </w:rPr>
      </w:pPr>
      <w:r>
        <w:rPr>
          <w:rFonts w:hint="eastAsia" w:ascii="仿宋" w:hAnsi="仿宋" w:eastAsia="仿宋_GB2312" w:cs="仿宋"/>
          <w:color w:val="000000"/>
          <w:sz w:val="32"/>
          <w:szCs w:val="32"/>
          <w:lang w:val="en-US" w:eastAsia="zh-CN"/>
        </w:rPr>
        <w:t>（一）基本养老服务，是指由国家直接提供或者通过一定方式支持相关主体向老年人提供的，旨在实现老有所养、老有所依必需的基础性、普惠性、兜底性服务，包括物质帮助、照护服务、关爱服务等内容。</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eastAsia" w:ascii="仿宋" w:hAnsi="仿宋" w:eastAsia="仿宋_GB2312" w:cs="仿宋"/>
          <w:color w:val="000000"/>
          <w:sz w:val="32"/>
          <w:szCs w:val="32"/>
          <w:lang w:val="en-US" w:eastAsia="zh-CN"/>
        </w:rPr>
      </w:pPr>
      <w:r>
        <w:rPr>
          <w:rFonts w:hint="eastAsia" w:ascii="仿宋" w:hAnsi="仿宋" w:eastAsia="仿宋_GB2312" w:cs="仿宋"/>
          <w:color w:val="000000"/>
          <w:sz w:val="32"/>
          <w:szCs w:val="32"/>
          <w:lang w:val="en-US" w:eastAsia="zh-CN"/>
        </w:rPr>
        <w:t>（二）普惠性养老服务，是指为中低收入家庭老年人提供的方便可及、价格可负担、质量有保障的养老服务。</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eastAsia" w:ascii="仿宋" w:hAnsi="仿宋" w:eastAsia="仿宋_GB2312" w:cs="仿宋"/>
          <w:color w:val="000000"/>
          <w:sz w:val="32"/>
          <w:szCs w:val="32"/>
          <w:lang w:val="en-US" w:eastAsia="zh-CN"/>
        </w:rPr>
      </w:pPr>
      <w:r>
        <w:rPr>
          <w:rFonts w:hint="eastAsia" w:ascii="仿宋" w:hAnsi="仿宋" w:eastAsia="仿宋_GB2312" w:cs="仿宋"/>
          <w:color w:val="000000"/>
          <w:sz w:val="32"/>
          <w:szCs w:val="32"/>
          <w:lang w:val="en-US" w:eastAsia="zh-CN"/>
        </w:rPr>
        <w:t>（三）养老服务机构，是指为老年人提供全日集中住宿和照料护理服务的养老机构，以及提供居家和社区养老服务的居家社区养老服务机构。</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eastAsia" w:ascii="仿宋" w:hAnsi="仿宋" w:eastAsia="仿宋_GB2312" w:cs="仿宋"/>
          <w:color w:val="000000"/>
          <w:sz w:val="32"/>
          <w:szCs w:val="32"/>
          <w:lang w:val="en-US" w:eastAsia="zh-CN"/>
        </w:rPr>
      </w:pPr>
      <w:r>
        <w:rPr>
          <w:rFonts w:hint="eastAsia" w:ascii="仿宋" w:hAnsi="仿宋" w:eastAsia="仿宋_GB2312" w:cs="仿宋"/>
          <w:color w:val="000000"/>
          <w:sz w:val="32"/>
          <w:szCs w:val="32"/>
          <w:lang w:val="en-US" w:eastAsia="zh-CN"/>
        </w:rPr>
        <w:t>（四）嵌入式养老服务机构，是指依托社区养老服务设施等资源，主要为社区内和周边有需要的老年人提供专业护理、生活照料、心理慰藉、居家入户等综合性养老服务的居家社区养老服务机构。</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baseline"/>
        <w:outlineLvl w:val="9"/>
        <w:rPr>
          <w:rFonts w:hint="default"/>
          <w:lang w:val="en-US" w:eastAsia="zh-CN"/>
        </w:rPr>
      </w:pPr>
      <w:r>
        <w:rPr>
          <w:rFonts w:hint="eastAsia" w:ascii="黑体" w:hAnsi="黑体" w:eastAsia="黑体" w:cs="黑体"/>
          <w:sz w:val="32"/>
          <w:szCs w:val="32"/>
          <w:highlight w:val="none"/>
          <w:lang w:eastAsia="zh-CN"/>
        </w:rPr>
        <w:t>第七十八条</w:t>
      </w:r>
      <w:r>
        <w:rPr>
          <w:rFonts w:hint="eastAsia" w:ascii="黑体" w:hAnsi="黑体" w:eastAsia="黑体" w:cs="黑体"/>
          <w:color w:val="000000"/>
          <w:sz w:val="32"/>
          <w:szCs w:val="32"/>
        </w:rPr>
        <w:t xml:space="preserve"> </w:t>
      </w:r>
      <w:r>
        <w:rPr>
          <w:rFonts w:hint="eastAsia" w:ascii="仿宋" w:hAnsi="仿宋" w:eastAsia="仿宋_GB2312" w:cs="仿宋"/>
          <w:color w:val="000000"/>
          <w:sz w:val="32"/>
          <w:szCs w:val="32"/>
        </w:rPr>
        <w:t xml:space="preserve"> </w:t>
      </w:r>
      <w:r>
        <w:rPr>
          <w:rFonts w:hint="eastAsia" w:ascii="仿宋_GB2312" w:hAnsi="仿宋_GB2312" w:eastAsia="仿宋_GB2312" w:cs="仿宋_GB2312"/>
          <w:color w:val="000000"/>
          <w:sz w:val="32"/>
          <w:szCs w:val="32"/>
        </w:rPr>
        <w:t>本条例自</w:t>
      </w:r>
      <w:r>
        <w:rPr>
          <w:rFonts w:hint="eastAsia" w:ascii="仿宋_GB2312" w:hAnsi="仿宋_GB2312" w:eastAsia="仿宋_GB2312" w:cs="仿宋_GB2312"/>
          <w:color w:val="000000"/>
          <w:sz w:val="32"/>
          <w:szCs w:val="32"/>
          <w:lang w:val="en-US" w:eastAsia="zh-CN"/>
        </w:rPr>
        <w:t>2023</w:t>
      </w:r>
      <w:r>
        <w:rPr>
          <w:rFonts w:hint="eastAsia" w:ascii="仿宋_GB2312" w:hAnsi="仿宋_GB2312" w:eastAsia="仿宋_GB2312" w:cs="仿宋_GB2312"/>
          <w:color w:val="000000"/>
          <w:sz w:val="32"/>
          <w:szCs w:val="32"/>
        </w:rPr>
        <w:t>年</w:t>
      </w:r>
      <w:r>
        <w:rPr>
          <w:rFonts w:hint="eastAsia" w:ascii="仿宋_GB2312" w:hAnsi="仿宋_GB2312" w:eastAsia="仿宋_GB2312" w:cs="仿宋_GB2312"/>
          <w:color w:val="000000"/>
          <w:sz w:val="32"/>
          <w:szCs w:val="32"/>
          <w:lang w:val="en-US" w:eastAsia="zh-CN"/>
        </w:rPr>
        <w:t>1</w:t>
      </w:r>
      <w:r>
        <w:rPr>
          <w:rFonts w:hint="eastAsia" w:ascii="仿宋_GB2312" w:hAnsi="仿宋_GB2312" w:eastAsia="仿宋_GB2312" w:cs="仿宋_GB2312"/>
          <w:color w:val="000000"/>
          <w:sz w:val="32"/>
          <w:szCs w:val="32"/>
        </w:rPr>
        <w:t>月</w:t>
      </w:r>
      <w:r>
        <w:rPr>
          <w:rFonts w:hint="eastAsia" w:ascii="仿宋_GB2312" w:hAnsi="仿宋_GB2312" w:eastAsia="仿宋_GB2312" w:cs="仿宋_GB2312"/>
          <w:color w:val="000000"/>
          <w:sz w:val="32"/>
          <w:szCs w:val="32"/>
          <w:lang w:val="en-US" w:eastAsia="zh-CN"/>
        </w:rPr>
        <w:t>1</w:t>
      </w:r>
      <w:r>
        <w:rPr>
          <w:rFonts w:hint="eastAsia" w:ascii="仿宋_GB2312" w:hAnsi="仿宋_GB2312" w:eastAsia="仿宋_GB2312" w:cs="仿宋_GB2312"/>
          <w:color w:val="000000"/>
          <w:sz w:val="32"/>
          <w:szCs w:val="32"/>
        </w:rPr>
        <w:t>日起施行。</w:t>
      </w:r>
    </w:p>
    <w:sectPr>
      <w:headerReference r:id="rId3" w:type="default"/>
      <w:footerReference r:id="rId4" w:type="default"/>
      <w:pgSz w:w="11906" w:h="16838"/>
      <w:pgMar w:top="2098" w:right="1531" w:bottom="1940" w:left="1531" w:header="851" w:footer="1701" w:gutter="0"/>
      <w:pgBorders>
        <w:top w:val="none" w:sz="0" w:space="0"/>
        <w:left w:val="none" w:sz="0" w:space="0"/>
        <w:bottom w:val="none" w:sz="0" w:space="0"/>
        <w:right w:val="none" w:sz="0" w:space="0"/>
      </w:pgBorders>
      <w:pgNumType w:fmt="decimal" w:start="34"/>
      <w:cols w:space="720" w:num="1"/>
      <w:rtlGutter w:val="0"/>
      <w:docGrid w:type="lines" w:linePitch="435"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00007A87" w:usb1="80000000" w:usb2="00000008"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A00002EF" w:usb1="4000004B" w:usb2="00000000" w:usb3="00000000" w:csb0="2000009F" w:csb1="00000000"/>
  </w:font>
  <w:font w:name="Calibri">
    <w:panose1 w:val="020F0502020204030204"/>
    <w:charset w:val="00"/>
    <w:family w:val="swiss"/>
    <w:pitch w:val="default"/>
    <w:sig w:usb0="A00002EF" w:usb1="4000207B" w:usb2="00000000" w:usb3="00000000" w:csb0="2000009F" w:csb1="00000000"/>
  </w:font>
  <w:font w:name="Garamond">
    <w:panose1 w:val="02020404030301010803"/>
    <w:charset w:val="00"/>
    <w:family w:val="roman"/>
    <w:pitch w:val="default"/>
    <w:sig w:usb0="00000287" w:usb1="00000000" w:usb2="00000000" w:usb3="00000000" w:csb0="0000009F" w:csb1="DFD70000"/>
  </w:font>
  <w:font w:name="仿宋">
    <w:panose1 w:val="02010609060101010101"/>
    <w:charset w:val="86"/>
    <w:family w:val="modern"/>
    <w:pitch w:val="default"/>
    <w:sig w:usb0="800002BF" w:usb1="38CF7CFA" w:usb2="00000016" w:usb3="00000000" w:csb0="00040001" w:csb1="00000000"/>
  </w:font>
  <w:font w:name="楷体_GB2312">
    <w:panose1 w:val="02010609030101010101"/>
    <w:charset w:val="86"/>
    <w:family w:val="auto"/>
    <w:pitch w:val="default"/>
    <w:sig w:usb0="00000001" w:usb1="080E0000" w:usb2="00000000" w:usb3="00000000" w:csb0="00040000" w:csb1="00000000"/>
  </w:font>
  <w:font w:name="方正仿宋_GBK">
    <w:altName w:val="微软雅黑"/>
    <w:panose1 w:val="02000000000000000000"/>
    <w:charset w:val="86"/>
    <w:family w:val="script"/>
    <w:pitch w:val="default"/>
    <w:sig w:usb0="00000000" w:usb1="0000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方正仿宋简体">
    <w:panose1 w:val="02010601030101010101"/>
    <w:charset w:val="86"/>
    <w:family w:val="auto"/>
    <w:pitch w:val="default"/>
    <w:sig w:usb0="00000001" w:usb1="080E0000" w:usb2="00000000" w:usb3="00000000" w:csb0="00040000" w:csb1="00000000"/>
  </w:font>
  <w:font w:name="方正黑体_GBK">
    <w:altName w:val="微软雅黑"/>
    <w:panose1 w:val="02000000000000000000"/>
    <w:charset w:val="86"/>
    <w:family w:val="auto"/>
    <w:pitch w:val="default"/>
    <w:sig w:usb0="00000000" w:usb1="00000000" w:usb2="00000000" w:usb3="00000000" w:csb0="00040000" w:csb1="00000000"/>
  </w:font>
  <w:font w:name="方正小标宋_GBK">
    <w:altName w:val="微软雅黑"/>
    <w:panose1 w:val="03000509000000000000"/>
    <w:charset w:val="86"/>
    <w:family w:val="auto"/>
    <w:pitch w:val="default"/>
    <w:sig w:usb0="00000000" w:usb1="00000000" w:usb2="00000000" w:usb3="00000000" w:csb0="00040000" w:csb1="00000000"/>
  </w:font>
  <w:font w:name="方正楷体_GBK">
    <w:altName w:val="微软雅黑"/>
    <w:panose1 w:val="02000000000000000000"/>
    <w:charset w:val="86"/>
    <w:family w:val="script"/>
    <w:pitch w:val="default"/>
    <w:sig w:usb0="00000000" w:usb1="00000000" w:usb2="00000000" w:usb3="00000000" w:csb0="00040000" w:csb1="00000000"/>
  </w:font>
  <w:font w:name="方正书宋_GBK">
    <w:altName w:val="微软雅黑"/>
    <w:panose1 w:val="02000000000000000000"/>
    <w:charset w:val="86"/>
    <w:family w:val="script"/>
    <w:pitch w:val="default"/>
    <w:sig w:usb0="00000000" w:usb1="00000000" w:usb2="00000000" w:usb3="00000000" w:csb0="00040000" w:csb1="00000000"/>
  </w:font>
  <w:font w:name="DejaVu Sans">
    <w:altName w:val="Segoe Print"/>
    <w:panose1 w:val="020B0603030804020204"/>
    <w:charset w:val="00"/>
    <w:family w:val="auto"/>
    <w:pitch w:val="default"/>
    <w:sig w:usb0="00000000" w:usb1="00000000" w:usb2="0A246029" w:usb3="0400200C" w:csb0="600001FF" w:csb1="DFFF0000"/>
  </w:font>
  <w:font w:name="Noto Serif Bengali">
    <w:altName w:val="Segoe Print"/>
    <w:panose1 w:val="02020502040504020204"/>
    <w:charset w:val="00"/>
    <w:family w:val="auto"/>
    <w:pitch w:val="default"/>
    <w:sig w:usb0="00000000" w:usb1="00000000" w:usb2="00000000" w:usb3="00000000" w:csb0="00000001" w:csb1="00000000"/>
  </w:font>
  <w:font w:name="方正宋体S-超大字符集">
    <w:altName w:val="宋体"/>
    <w:panose1 w:val="02000000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rPr>
        <w:rFonts w:eastAsia="仿宋_GB2312"/>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6"/>
  <w:bordersDoNotSurroundHeader w:val="1"/>
  <w:bordersDoNotSurroundFooter w:val="1"/>
  <w:documentProtection w:enforcement="0"/>
  <w:defaultTabStop w:val="420"/>
  <w:hyphenationZone w:val="360"/>
  <w:drawingGridVerticalSpacing w:val="218"/>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B23F5"/>
    <w:rsid w:val="00110ED3"/>
    <w:rsid w:val="00333C06"/>
    <w:rsid w:val="00346BB0"/>
    <w:rsid w:val="00395785"/>
    <w:rsid w:val="00470839"/>
    <w:rsid w:val="006D0579"/>
    <w:rsid w:val="0084618F"/>
    <w:rsid w:val="00A72D16"/>
    <w:rsid w:val="00A91BEC"/>
    <w:rsid w:val="00CC1156"/>
    <w:rsid w:val="00D9738A"/>
    <w:rsid w:val="00DA2D77"/>
    <w:rsid w:val="00DB23F5"/>
    <w:rsid w:val="00DE787E"/>
    <w:rsid w:val="00E371E4"/>
    <w:rsid w:val="00E57F61"/>
    <w:rsid w:val="00EF228E"/>
    <w:rsid w:val="015E1027"/>
    <w:rsid w:val="01A70A44"/>
    <w:rsid w:val="047F2BB2"/>
    <w:rsid w:val="06D54ADE"/>
    <w:rsid w:val="08140262"/>
    <w:rsid w:val="08596ACD"/>
    <w:rsid w:val="091B1470"/>
    <w:rsid w:val="0D161CE9"/>
    <w:rsid w:val="106A0860"/>
    <w:rsid w:val="11CA42BF"/>
    <w:rsid w:val="11D8572D"/>
    <w:rsid w:val="11DB3BC7"/>
    <w:rsid w:val="13627167"/>
    <w:rsid w:val="13FA62D5"/>
    <w:rsid w:val="141E1FEA"/>
    <w:rsid w:val="14A85100"/>
    <w:rsid w:val="14BC2210"/>
    <w:rsid w:val="150053B4"/>
    <w:rsid w:val="1674344E"/>
    <w:rsid w:val="181855E4"/>
    <w:rsid w:val="1B29246B"/>
    <w:rsid w:val="1C534715"/>
    <w:rsid w:val="1DAA5E5A"/>
    <w:rsid w:val="1F0B5540"/>
    <w:rsid w:val="1FCC4500"/>
    <w:rsid w:val="212A22B6"/>
    <w:rsid w:val="2133289B"/>
    <w:rsid w:val="24B605C8"/>
    <w:rsid w:val="24BE414F"/>
    <w:rsid w:val="272B619A"/>
    <w:rsid w:val="27B61F67"/>
    <w:rsid w:val="27C20A3B"/>
    <w:rsid w:val="281C3036"/>
    <w:rsid w:val="2A1555D7"/>
    <w:rsid w:val="2AE134C0"/>
    <w:rsid w:val="2BA52084"/>
    <w:rsid w:val="2E154412"/>
    <w:rsid w:val="2FBF6C9F"/>
    <w:rsid w:val="30143A05"/>
    <w:rsid w:val="31DD37F0"/>
    <w:rsid w:val="33882C77"/>
    <w:rsid w:val="357553FB"/>
    <w:rsid w:val="367F4CC3"/>
    <w:rsid w:val="36ED5603"/>
    <w:rsid w:val="37E01E88"/>
    <w:rsid w:val="38CC309F"/>
    <w:rsid w:val="3A1622AC"/>
    <w:rsid w:val="3D2C6034"/>
    <w:rsid w:val="3F7B2D77"/>
    <w:rsid w:val="3FA46663"/>
    <w:rsid w:val="413D6D29"/>
    <w:rsid w:val="423069FA"/>
    <w:rsid w:val="43BD3F57"/>
    <w:rsid w:val="44321CAE"/>
    <w:rsid w:val="46F005B5"/>
    <w:rsid w:val="49281E8A"/>
    <w:rsid w:val="4C9C31D4"/>
    <w:rsid w:val="4D7F11A7"/>
    <w:rsid w:val="4DED41E4"/>
    <w:rsid w:val="4F55420C"/>
    <w:rsid w:val="4FD55B4A"/>
    <w:rsid w:val="4FFC7119"/>
    <w:rsid w:val="50E4270A"/>
    <w:rsid w:val="514344C5"/>
    <w:rsid w:val="51664AEA"/>
    <w:rsid w:val="559C38E9"/>
    <w:rsid w:val="564D5180"/>
    <w:rsid w:val="57A75A85"/>
    <w:rsid w:val="5963683E"/>
    <w:rsid w:val="5AC95491"/>
    <w:rsid w:val="5B1F795C"/>
    <w:rsid w:val="5BA74FCE"/>
    <w:rsid w:val="5DE972E2"/>
    <w:rsid w:val="5EB00269"/>
    <w:rsid w:val="5FB848C4"/>
    <w:rsid w:val="5FBEDABF"/>
    <w:rsid w:val="61F66FEC"/>
    <w:rsid w:val="65C85B9C"/>
    <w:rsid w:val="66FB3D9E"/>
    <w:rsid w:val="67B92443"/>
    <w:rsid w:val="681B483A"/>
    <w:rsid w:val="68E04959"/>
    <w:rsid w:val="6A7B6C08"/>
    <w:rsid w:val="6B0300F8"/>
    <w:rsid w:val="6B043025"/>
    <w:rsid w:val="6E1307D7"/>
    <w:rsid w:val="6E5D04B3"/>
    <w:rsid w:val="6EFF3687"/>
    <w:rsid w:val="6F2C1B6B"/>
    <w:rsid w:val="70416C96"/>
    <w:rsid w:val="705526E7"/>
    <w:rsid w:val="71437231"/>
    <w:rsid w:val="71EE1CFD"/>
    <w:rsid w:val="71F1209D"/>
    <w:rsid w:val="736B4444"/>
    <w:rsid w:val="73F61A83"/>
    <w:rsid w:val="75975398"/>
    <w:rsid w:val="773C607A"/>
    <w:rsid w:val="77BA047C"/>
    <w:rsid w:val="78D70437"/>
    <w:rsid w:val="79DE5089"/>
    <w:rsid w:val="7B8D4719"/>
    <w:rsid w:val="7C9E3545"/>
    <w:rsid w:val="7D7546E0"/>
    <w:rsid w:val="7DFF6363"/>
    <w:rsid w:val="7E411EBD"/>
    <w:rsid w:val="7F44428D"/>
    <w:rsid w:val="7FDA6F95"/>
    <w:rsid w:val="7FED1C11"/>
    <w:rsid w:val="7FFFA0B1"/>
    <w:rsid w:val="8DCE84E5"/>
    <w:rsid w:val="9A3FB545"/>
    <w:rsid w:val="BCFF97D2"/>
    <w:rsid w:val="BE2B4244"/>
    <w:rsid w:val="BFFD93FC"/>
    <w:rsid w:val="C7ED266D"/>
    <w:rsid w:val="EBF79985"/>
    <w:rsid w:val="EEFDDD53"/>
    <w:rsid w:val="FAFFD23D"/>
    <w:rsid w:val="FBEA3176"/>
    <w:rsid w:val="FBF2DA55"/>
    <w:rsid w:val="FDF2BD88"/>
    <w:rsid w:val="FF51FF25"/>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semiHidden="0" w:name="heading 3"/>
    <w:lsdException w:unhideWhenUsed="0" w:uiPriority="0" w:semiHidden="0" w:name="heading 4"/>
    <w:lsdException w:unhideWhenUsed="0" w:uiPriority="0" w:semiHidden="0" w:name="heading 5"/>
    <w:lsdException w:unhideWhenUsed="0" w:uiPriority="0" w:semiHidden="0" w:name="heading 6"/>
    <w:lsdException w:unhideWhenUsed="0" w:uiPriority="0" w:semiHidden="0" w:name="heading 7"/>
    <w:lsdException w:unhideWhenUsed="0" w:uiPriority="0" w:semiHidden="0" w:name="heading 8"/>
    <w:lsdException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unhideWhenUsed="0" w:uiPriority="0" w:semiHidden="0" w:name="Strong"/>
    <w:lsdException w:unhideWhenUsed="0" w:uiPriority="0" w:semiHidden="0" w:name="Emphasis"/>
    <w:lsdException w:unhideWhenUsed="0" w:uiPriority="0" w:semiHidden="0" w:name="Document Map"/>
    <w:lsdException w:qFormat="1" w:uiPriority="99"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Garamond" w:hAnsi="Garamond" w:eastAsia="仿宋" w:cs="Times New Roman"/>
      <w:kern w:val="2"/>
      <w:sz w:val="32"/>
      <w:szCs w:val="24"/>
      <w:lang w:val="en-US" w:eastAsia="zh-CN" w:bidi="ar-SA"/>
    </w:rPr>
  </w:style>
  <w:style w:type="paragraph" w:styleId="3">
    <w:name w:val="heading 1"/>
    <w:basedOn w:val="1"/>
    <w:next w:val="1"/>
    <w:qFormat/>
    <w:uiPriority w:val="0"/>
    <w:pPr>
      <w:keepNext/>
      <w:keepLines/>
      <w:spacing w:before="200" w:beforeLines="200" w:beforeAutospacing="0" w:afterLines="0" w:afterAutospacing="0" w:line="240" w:lineRule="auto"/>
      <w:ind w:firstLine="0" w:firstLineChars="0"/>
      <w:jc w:val="center"/>
      <w:outlineLvl w:val="0"/>
    </w:pPr>
    <w:rPr>
      <w:rFonts w:eastAsia="宋体"/>
      <w:kern w:val="44"/>
      <w:sz w:val="44"/>
    </w:rPr>
  </w:style>
  <w:style w:type="paragraph" w:styleId="4">
    <w:name w:val="heading 2"/>
    <w:basedOn w:val="1"/>
    <w:next w:val="1"/>
    <w:qFormat/>
    <w:uiPriority w:val="0"/>
    <w:pPr>
      <w:keepNext/>
      <w:keepLines/>
      <w:tabs>
        <w:tab w:val="left" w:pos="420"/>
      </w:tabs>
      <w:spacing w:before="100" w:beforeLines="100" w:beforeAutospacing="0" w:afterLines="0" w:afterAutospacing="0" w:line="240" w:lineRule="auto"/>
      <w:ind w:left="624" w:leftChars="200" w:right="624" w:rightChars="200" w:firstLine="0" w:firstLineChars="0"/>
      <w:outlineLvl w:val="1"/>
    </w:pPr>
    <w:rPr>
      <w:rFonts w:ascii="Arial" w:hAnsi="Arial" w:eastAsia="楷体_GB2312" w:cs="Times New Roman"/>
    </w:rPr>
  </w:style>
  <w:style w:type="paragraph" w:styleId="5">
    <w:name w:val="heading 3"/>
    <w:basedOn w:val="1"/>
    <w:next w:val="1"/>
    <w:unhideWhenUsed/>
    <w:qFormat/>
    <w:uiPriority w:val="0"/>
    <w:pPr>
      <w:keepNext/>
      <w:keepLines/>
      <w:spacing w:before="100" w:beforeLines="100" w:beforeAutospacing="0" w:after="100" w:afterLines="100" w:afterAutospacing="0" w:line="240" w:lineRule="auto"/>
      <w:ind w:firstLine="0" w:firstLineChars="0"/>
      <w:jc w:val="center"/>
      <w:outlineLvl w:val="2"/>
    </w:pPr>
    <w:rPr>
      <w:rFonts w:eastAsia="黑体"/>
    </w:rPr>
  </w:style>
  <w:style w:type="character" w:default="1" w:styleId="16">
    <w:name w:val="Default Paragraph Font"/>
    <w:semiHidden/>
    <w:qFormat/>
    <w:uiPriority w:val="0"/>
  </w:style>
  <w:style w:type="table" w:default="1" w:styleId="19">
    <w:name w:val="Normal Table"/>
    <w:semiHidden/>
    <w:qFormat/>
    <w:uiPriority w:val="0"/>
    <w:tblPr>
      <w:tblLayout w:type="fixed"/>
      <w:tblCellMar>
        <w:top w:w="0" w:type="dxa"/>
        <w:left w:w="108" w:type="dxa"/>
        <w:bottom w:w="0" w:type="dxa"/>
        <w:right w:w="108" w:type="dxa"/>
      </w:tblCellMar>
    </w:tblPr>
  </w:style>
  <w:style w:type="paragraph" w:customStyle="1" w:styleId="2">
    <w:name w:val="Default"/>
    <w:unhideWhenUsed/>
    <w:qFormat/>
    <w:uiPriority w:val="99"/>
    <w:pPr>
      <w:widowControl w:val="0"/>
      <w:autoSpaceDE w:val="0"/>
      <w:autoSpaceDN w:val="0"/>
      <w:adjustRightInd w:val="0"/>
    </w:pPr>
    <w:rPr>
      <w:rFonts w:hint="eastAsia" w:ascii="方正仿宋_GBK" w:hAnsi="方正仿宋_GBK" w:eastAsia="方正仿宋_GBK" w:cs="Times New Roman"/>
      <w:color w:val="000000"/>
      <w:sz w:val="24"/>
      <w:szCs w:val="22"/>
      <w:lang w:val="en-US" w:eastAsia="zh-CN" w:bidi="ar-SA"/>
    </w:rPr>
  </w:style>
  <w:style w:type="paragraph" w:styleId="6">
    <w:name w:val="Body Text First Indent"/>
    <w:basedOn w:val="7"/>
    <w:qFormat/>
    <w:uiPriority w:val="0"/>
    <w:pPr>
      <w:ind w:firstLine="420" w:firstLineChars="100"/>
    </w:pPr>
    <w:rPr>
      <w:rFonts w:ascii="Calibri" w:hAnsi="Calibri"/>
      <w:kern w:val="0"/>
      <w:sz w:val="20"/>
      <w:szCs w:val="20"/>
    </w:rPr>
  </w:style>
  <w:style w:type="paragraph" w:styleId="7">
    <w:name w:val="Body Text"/>
    <w:basedOn w:val="1"/>
    <w:next w:val="8"/>
    <w:qFormat/>
    <w:uiPriority w:val="0"/>
    <w:pPr>
      <w:spacing w:after="120"/>
    </w:pPr>
  </w:style>
  <w:style w:type="paragraph" w:customStyle="1" w:styleId="8">
    <w:name w:val="neirong"/>
    <w:basedOn w:val="1"/>
    <w:next w:val="1"/>
    <w:qFormat/>
    <w:uiPriority w:val="0"/>
    <w:pPr>
      <w:widowControl/>
      <w:spacing w:before="100" w:beforeAutospacing="1" w:after="100" w:afterAutospacing="1" w:line="360" w:lineRule="auto"/>
      <w:jc w:val="left"/>
    </w:pPr>
    <w:rPr>
      <w:rFonts w:ascii="宋体" w:hAnsi="宋体" w:eastAsia="仿宋_GB2312"/>
      <w:bCs/>
      <w:color w:val="000000"/>
      <w:kern w:val="0"/>
      <w:sz w:val="24"/>
    </w:rPr>
  </w:style>
  <w:style w:type="paragraph" w:styleId="9">
    <w:name w:val="Body Text Indent"/>
    <w:basedOn w:val="1"/>
    <w:qFormat/>
    <w:uiPriority w:val="0"/>
    <w:pPr>
      <w:spacing w:after="120"/>
      <w:ind w:left="420" w:leftChars="200"/>
    </w:pPr>
  </w:style>
  <w:style w:type="paragraph" w:styleId="10">
    <w:name w:val="Plain Text"/>
    <w:basedOn w:val="1"/>
    <w:unhideWhenUsed/>
    <w:qFormat/>
    <w:uiPriority w:val="99"/>
    <w:rPr>
      <w:rFonts w:ascii="宋体" w:hAnsi="Courier New" w:cs="Courier New"/>
    </w:rPr>
  </w:style>
  <w:style w:type="paragraph" w:styleId="11">
    <w:name w:val="Balloon Text"/>
    <w:basedOn w:val="1"/>
    <w:semiHidden/>
    <w:qFormat/>
    <w:uiPriority w:val="0"/>
    <w:rPr>
      <w:sz w:val="18"/>
      <w:szCs w:val="18"/>
    </w:rPr>
  </w:style>
  <w:style w:type="paragraph" w:styleId="12">
    <w:name w:val="footer"/>
    <w:basedOn w:val="1"/>
    <w:qFormat/>
    <w:uiPriority w:val="0"/>
    <w:pPr>
      <w:tabs>
        <w:tab w:val="center" w:pos="4153"/>
        <w:tab w:val="right" w:pos="8306"/>
      </w:tabs>
      <w:snapToGrid w:val="0"/>
      <w:jc w:val="left"/>
    </w:pPr>
    <w:rPr>
      <w:sz w:val="18"/>
    </w:rPr>
  </w:style>
  <w:style w:type="paragraph" w:styleId="13">
    <w:name w:val="Body Text First Indent 2"/>
    <w:basedOn w:val="1"/>
    <w:next w:val="1"/>
    <w:unhideWhenUsed/>
    <w:qFormat/>
    <w:uiPriority w:val="99"/>
    <w:pPr>
      <w:ind w:firstLine="420" w:firstLineChars="200"/>
    </w:pPr>
  </w:style>
  <w:style w:type="paragraph" w:styleId="1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5">
    <w:name w:val="Normal (Web)"/>
    <w:basedOn w:val="1"/>
    <w:next w:val="1"/>
    <w:unhideWhenUsed/>
    <w:qFormat/>
    <w:uiPriority w:val="99"/>
    <w:pPr>
      <w:widowControl/>
      <w:spacing w:before="100" w:beforeAutospacing="1" w:after="100" w:afterAutospacing="1"/>
      <w:jc w:val="left"/>
    </w:pPr>
    <w:rPr>
      <w:rFonts w:ascii="宋体" w:hAnsi="宋体" w:cs="宋体"/>
      <w:kern w:val="0"/>
      <w:sz w:val="24"/>
    </w:rPr>
  </w:style>
  <w:style w:type="character" w:styleId="17">
    <w:name w:val="page number"/>
    <w:basedOn w:val="16"/>
    <w:qFormat/>
    <w:uiPriority w:val="0"/>
  </w:style>
  <w:style w:type="character" w:styleId="18">
    <w:name w:val="Hyperlink"/>
    <w:basedOn w:val="16"/>
    <w:qFormat/>
    <w:uiPriority w:val="0"/>
    <w:rPr>
      <w:rFonts w:ascii="Calibri" w:hAnsi="Calibri" w:eastAsia="宋体" w:cs="Times New Roman"/>
      <w:color w:val="000000"/>
      <w:u w:val="none"/>
    </w:rPr>
  </w:style>
  <w:style w:type="character" w:customStyle="1" w:styleId="20">
    <w:name w:val="NormalCharacter"/>
    <w:qFormat/>
    <w:uiPriority w:val="0"/>
  </w:style>
  <w:style w:type="paragraph" w:customStyle="1" w:styleId="21">
    <w:name w:val="p17"/>
    <w:basedOn w:val="1"/>
    <w:qFormat/>
    <w:uiPriority w:val="0"/>
    <w:pPr>
      <w:keepNext w:val="0"/>
      <w:keepLines w:val="0"/>
      <w:widowControl/>
      <w:suppressLineNumbers w:val="0"/>
      <w:spacing w:before="0" w:beforeLines="0" w:beforeAutospacing="0" w:after="0" w:afterLines="0" w:afterAutospacing="0"/>
      <w:ind w:left="0" w:right="0"/>
      <w:jc w:val="both"/>
    </w:pPr>
    <w:rPr>
      <w:rFonts w:hint="default" w:ascii="Times New Roman" w:hAnsi="Times New Roman" w:eastAsia="方正仿宋简体"/>
      <w:kern w:val="0"/>
      <w:sz w:val="30"/>
      <w:lang w:val="en-US" w:eastAsia="zh-CN"/>
    </w:rPr>
  </w:style>
  <w:style w:type="paragraph" w:customStyle="1" w:styleId="22">
    <w:name w:val="msonormal msonormal"/>
    <w:basedOn w:val="1"/>
    <w:qFormat/>
    <w:uiPriority w:val="99"/>
    <w:pPr>
      <w:widowControl/>
      <w:spacing w:before="100" w:beforeAutospacing="1" w:after="100" w:afterAutospacing="1"/>
      <w:jc w:val="left"/>
    </w:pPr>
    <w:rPr>
      <w:rFonts w:ascii="宋体" w:hAnsi="宋体" w:cs="宋体"/>
      <w:kern w:val="0"/>
      <w:sz w:val="24"/>
      <w:szCs w:val="24"/>
    </w:rPr>
  </w:style>
  <w:style w:type="paragraph" w:customStyle="1" w:styleId="23">
    <w:name w:val="样式2"/>
    <w:basedOn w:val="1"/>
    <w:next w:val="11"/>
    <w:qFormat/>
    <w:uiPriority w:val="0"/>
    <w:pPr>
      <w:spacing w:line="600" w:lineRule="exact"/>
      <w:ind w:right="-47" w:rightChars="-47" w:firstLine="200" w:firstLineChars="200"/>
      <w:jc w:val="left"/>
    </w:pPr>
    <w:rPr>
      <w:rFonts w:ascii="Calibri" w:hAnsi="Calibri" w:eastAsia="宋体"/>
      <w:bCs/>
      <w:kern w:val="2"/>
      <w:szCs w:val="28"/>
    </w:rPr>
  </w:style>
  <w:style w:type="paragraph" w:customStyle="1" w:styleId="24">
    <w:name w:val="p0"/>
    <w:basedOn w:val="1"/>
    <w:qFormat/>
    <w:uiPriority w:val="0"/>
    <w:pPr>
      <w:keepNext w:val="0"/>
      <w:keepLines w:val="0"/>
      <w:widowControl/>
      <w:suppressLineNumbers w:val="0"/>
      <w:spacing w:before="0" w:beforeLines="0" w:beforeAutospacing="0" w:after="0" w:afterLines="0" w:afterAutospacing="0" w:line="240" w:lineRule="atLeast"/>
      <w:ind w:left="0" w:right="0"/>
      <w:jc w:val="both"/>
    </w:pPr>
    <w:rPr>
      <w:rFonts w:hint="default" w:ascii="Times New Roman" w:hAnsi="Times New Roman" w:eastAsia="仿宋_GB2312"/>
      <w:spacing w:val="-6"/>
      <w:kern w:val="0"/>
      <w:sz w:val="32"/>
      <w:lang w:val="en-US" w:eastAsia="zh-CN"/>
    </w:rPr>
  </w:style>
  <w:style w:type="character" w:customStyle="1" w:styleId="25">
    <w:name w:val="16"/>
    <w:basedOn w:val="16"/>
    <w:qFormat/>
    <w:uiPriority w:val="0"/>
    <w:rPr>
      <w:rFonts w:hint="default" w:ascii="Times New Roman" w:hAnsi="Times New Roman" w:cs="Times New Roman"/>
    </w:rPr>
  </w:style>
  <w:style w:type="paragraph" w:customStyle="1" w:styleId="26">
    <w:name w:val="Char Char Char Char Char Char Char Char Char Char Char Char Char Char Char Char Char Char Char Char Char Char Char Char Char Char Char Char Char Char Char Char Char"/>
    <w:basedOn w:val="1"/>
    <w:qFormat/>
    <w:uiPriority w:val="0"/>
    <w:pPr>
      <w:widowControl/>
      <w:spacing w:after="160" w:afterLines="0" w:line="240" w:lineRule="exact"/>
      <w:jc w:val="left"/>
    </w:pPr>
    <w:rPr>
      <w:spacing w:val="0"/>
      <w:szCs w:val="24"/>
    </w:rPr>
  </w:style>
  <w:style w:type="paragraph" w:customStyle="1" w:styleId="27">
    <w:name w:val="Body Text First Indent 21"/>
    <w:basedOn w:val="9"/>
    <w:qFormat/>
    <w:uiPriority w:val="0"/>
    <w:pPr>
      <w:ind w:firstLine="420"/>
    </w:pPr>
    <w:rPr>
      <w:rFonts w:eastAsia="仿宋_GB2312" w:cs="Times New Roman"/>
      <w:kern w:val="1"/>
      <w:sz w:val="32"/>
      <w:szCs w:val="24"/>
    </w:rPr>
  </w:style>
  <w:style w:type="paragraph" w:customStyle="1" w:styleId="28">
    <w:name w:val="Body Text First Indent 2"/>
    <w:basedOn w:val="9"/>
    <w:qFormat/>
    <w:uiPriority w:val="0"/>
    <w:pPr>
      <w:widowControl w:val="0"/>
      <w:spacing w:after="120" w:afterLines="0"/>
      <w:ind w:left="420" w:leftChars="200" w:firstLine="420"/>
      <w:jc w:val="both"/>
    </w:pPr>
    <w:rPr>
      <w:rFonts w:ascii="Times New Roman" w:hAnsi="Times New Roman" w:eastAsia="仿宋_GB2312" w:cs="Times New Roman"/>
      <w:kern w:val="1"/>
      <w:sz w:val="32"/>
      <w:szCs w:val="24"/>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Pages>
  <Words>40</Words>
  <Characters>233</Characters>
  <Lines>1</Lines>
  <Paragraphs>1</Paragraphs>
  <ScaleCrop>false</ScaleCrop>
  <LinksUpToDate>false</LinksUpToDate>
  <CharactersWithSpaces>272</CharactersWithSpaces>
  <Application>WPS Office_10.8.0.6308_F1E327BC-269C-435d-A152-05C5408002CA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2017-07-27T09:59:00Z</dcterms:created>
  <dc:creator>齐齐</dc:creator>
  <cp:lastModifiedBy>lxy</cp:lastModifiedBy>
  <cp:lastPrinted>2022-08-16T16:51:00Z</cp:lastPrinted>
  <dcterms:modified xsi:type="dcterms:W3CDTF">2022-10-24T09:06:12Z</dcterms:modified>
  <cp:revision>17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2052-10.8.0.6308</vt:lpwstr>
  </property>
</Properties>
</file>