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ajorEastAsia" w:hAnsiTheme="majorEastAsia" w:eastAsiaTheme="majorEastAsia"/>
          <w:szCs w:val="21"/>
        </w:rPr>
      </w:pPr>
      <w:bookmarkStart w:id="0" w:name="_GoBack"/>
      <w:bookmarkEnd w:id="0"/>
    </w:p>
    <w:p>
      <w:pPr>
        <w:pStyle w:val="2"/>
      </w:pPr>
    </w:p>
    <w:p>
      <w:pPr>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舟山市国家级海洋特别保护区管理条例</w:t>
      </w:r>
    </w:p>
    <w:p>
      <w:pPr>
        <w:rPr>
          <w:rFonts w:asciiTheme="majorEastAsia" w:hAnsiTheme="majorEastAsia" w:eastAsiaTheme="majorEastAsia"/>
          <w:szCs w:val="21"/>
        </w:rPr>
      </w:pPr>
    </w:p>
    <w:p>
      <w:pPr>
        <w:autoSpaceDE w:val="0"/>
        <w:autoSpaceDN w:val="0"/>
        <w:adjustRightInd w:val="0"/>
        <w:ind w:left="628" w:leftChars="200" w:right="628" w:rightChars="200"/>
        <w:rPr>
          <w:rFonts w:ascii="楷体_GB2312" w:eastAsia="楷体_GB2312" w:cs="仿宋_GB2312" w:hAnsiTheme="minorEastAsia"/>
          <w:color w:val="000000"/>
          <w:kern w:val="0"/>
          <w:szCs w:val="21"/>
          <w:lang w:val="zh-CN"/>
        </w:rPr>
      </w:pPr>
      <w:r>
        <w:rPr>
          <w:rFonts w:hint="eastAsia" w:ascii="楷体_GB2312" w:eastAsia="楷体_GB2312" w:cs="仿宋_GB2312" w:hAnsiTheme="minorEastAsia"/>
          <w:color w:val="000000"/>
          <w:kern w:val="0"/>
          <w:szCs w:val="21"/>
          <w:lang w:val="zh-CN"/>
        </w:rPr>
        <w:t>（2016年11月1日舟山市第六届人民代表大会常务委员会第四十一次会议通过  2016年12月1日浙江省第十二届人民代表大会常务委员会第三十五次会议批准</w:t>
      </w:r>
      <w:r>
        <w:rPr>
          <w:rFonts w:hint="default" w:ascii="楷体_GB2312" w:eastAsia="楷体_GB2312" w:cs="仿宋_GB2312" w:hAnsiTheme="minorEastAsia"/>
          <w:color w:val="000000"/>
          <w:kern w:val="0"/>
          <w:szCs w:val="21"/>
          <w:lang w:val="en"/>
        </w:rPr>
        <w:t xml:space="preserve">  </w:t>
      </w:r>
      <w:r>
        <w:rPr>
          <w:rFonts w:hint="eastAsia" w:ascii="楷体_GB2312" w:eastAsia="楷体_GB2312" w:cs="仿宋_GB2312" w:hAnsiTheme="minorEastAsia"/>
          <w:color w:val="000000"/>
          <w:kern w:val="0"/>
          <w:szCs w:val="21"/>
          <w:lang w:val="en" w:eastAsia="zh-CN"/>
        </w:rPr>
        <w:t>根据</w:t>
      </w:r>
      <w:r>
        <w:rPr>
          <w:rFonts w:hint="default" w:ascii="楷体_GB2312" w:eastAsia="楷体_GB2312" w:cs="仿宋_GB2312" w:hAnsiTheme="minorEastAsia"/>
          <w:color w:val="000000"/>
          <w:kern w:val="0"/>
          <w:szCs w:val="21"/>
          <w:lang w:val="en"/>
        </w:rPr>
        <w:t>2022年2月28日舟山市第七届人民代表大会常务委员会第四十七次会议通过  2022年5月27日浙江省第十三届人民代表大会常务委员会第三十六次会议批准</w:t>
      </w:r>
      <w:r>
        <w:rPr>
          <w:rFonts w:hint="eastAsia" w:ascii="楷体_GB2312" w:eastAsia="楷体_GB2312" w:cs="仿宋_GB2312" w:hAnsiTheme="minorEastAsia"/>
          <w:color w:val="000000"/>
          <w:kern w:val="0"/>
          <w:szCs w:val="21"/>
          <w:lang w:val="en" w:eastAsia="zh-CN"/>
        </w:rPr>
        <w:t>的《舟山市人民代表大会常务委员会关于修改〈舟山市国家级海洋特别保护区管理条例〉的决定》修正</w:t>
      </w:r>
      <w:r>
        <w:rPr>
          <w:rFonts w:hint="eastAsia" w:ascii="楷体_GB2312" w:eastAsia="楷体_GB2312" w:cs="仿宋_GB2312" w:hAnsiTheme="minorEastAsia"/>
          <w:color w:val="000000"/>
          <w:kern w:val="0"/>
          <w:szCs w:val="21"/>
          <w:lang w:val="zh-CN"/>
        </w:rPr>
        <w:t>）</w:t>
      </w:r>
    </w:p>
    <w:p>
      <w:pPr>
        <w:rPr>
          <w:rFonts w:asciiTheme="minorEastAsia" w:hAnsiTheme="minorEastAsia"/>
          <w:szCs w:val="21"/>
        </w:rPr>
      </w:pPr>
    </w:p>
    <w:p>
      <w:pPr>
        <w:jc w:val="center"/>
        <w:rPr>
          <w:rFonts w:ascii="楷体_GB2312" w:eastAsia="楷体_GB2312" w:hAnsiTheme="minorEastAsia"/>
          <w:szCs w:val="21"/>
        </w:rPr>
      </w:pPr>
      <w:r>
        <w:rPr>
          <w:rFonts w:hint="eastAsia" w:ascii="楷体_GB2312" w:eastAsia="楷体_GB2312" w:hAnsiTheme="minorEastAsia"/>
          <w:szCs w:val="21"/>
        </w:rPr>
        <w:t>目录</w:t>
      </w:r>
    </w:p>
    <w:p>
      <w:pPr>
        <w:ind w:firstLine="628" w:firstLineChars="200"/>
        <w:rPr>
          <w:rFonts w:ascii="楷体_GB2312" w:eastAsia="楷体_GB2312" w:hAnsiTheme="minorEastAsia"/>
          <w:szCs w:val="21"/>
        </w:rPr>
      </w:pPr>
      <w:r>
        <w:rPr>
          <w:rFonts w:hint="eastAsia" w:ascii="楷体_GB2312" w:eastAsia="楷体_GB2312" w:hAnsiTheme="minorEastAsia"/>
          <w:szCs w:val="21"/>
        </w:rPr>
        <w:t>第一章</w:t>
      </w:r>
      <w:r>
        <w:rPr>
          <w:rFonts w:hint="eastAsia" w:ascii="楷体_GB2312" w:eastAsia="楷体_GB2312" w:hAnsiTheme="minorEastAsia"/>
          <w:szCs w:val="21"/>
          <w:lang w:val="en-US" w:eastAsia="zh-CN"/>
        </w:rPr>
        <w:t xml:space="preserve">  </w:t>
      </w:r>
      <w:r>
        <w:rPr>
          <w:rFonts w:hint="eastAsia" w:ascii="楷体_GB2312" w:eastAsia="楷体_GB2312" w:hAnsiTheme="minorEastAsia"/>
          <w:szCs w:val="21"/>
        </w:rPr>
        <w:t>总则</w:t>
      </w:r>
    </w:p>
    <w:p>
      <w:pPr>
        <w:ind w:firstLine="628" w:firstLineChars="200"/>
        <w:rPr>
          <w:rFonts w:ascii="楷体_GB2312" w:eastAsia="楷体_GB2312" w:hAnsiTheme="minorEastAsia"/>
          <w:szCs w:val="21"/>
        </w:rPr>
      </w:pPr>
      <w:r>
        <w:rPr>
          <w:rFonts w:hint="eastAsia" w:ascii="楷体_GB2312" w:eastAsia="楷体_GB2312" w:hAnsiTheme="minorEastAsia"/>
          <w:szCs w:val="21"/>
        </w:rPr>
        <w:t>第二章</w:t>
      </w:r>
      <w:r>
        <w:rPr>
          <w:rFonts w:hint="eastAsia" w:ascii="楷体_GB2312" w:eastAsia="楷体_GB2312" w:hAnsiTheme="minorEastAsia"/>
          <w:szCs w:val="21"/>
          <w:lang w:val="en-US" w:eastAsia="zh-CN"/>
        </w:rPr>
        <w:t xml:space="preserve">  </w:t>
      </w:r>
      <w:r>
        <w:rPr>
          <w:rFonts w:hint="eastAsia" w:ascii="楷体_GB2312" w:eastAsia="楷体_GB2312" w:hAnsiTheme="minorEastAsia"/>
          <w:szCs w:val="21"/>
        </w:rPr>
        <w:t>资源与生态环境保护</w:t>
      </w:r>
    </w:p>
    <w:p>
      <w:pPr>
        <w:ind w:firstLine="628" w:firstLineChars="200"/>
        <w:rPr>
          <w:rFonts w:ascii="楷体_GB2312" w:eastAsia="楷体_GB2312" w:hAnsiTheme="minorEastAsia"/>
          <w:szCs w:val="21"/>
        </w:rPr>
      </w:pPr>
      <w:r>
        <w:rPr>
          <w:rFonts w:hint="eastAsia" w:ascii="楷体_GB2312" w:eastAsia="楷体_GB2312" w:hAnsiTheme="minorEastAsia"/>
          <w:szCs w:val="21"/>
        </w:rPr>
        <w:t>第三章</w:t>
      </w:r>
      <w:r>
        <w:rPr>
          <w:rFonts w:hint="eastAsia" w:ascii="楷体_GB2312" w:eastAsia="楷体_GB2312" w:hAnsiTheme="minorEastAsia"/>
          <w:szCs w:val="21"/>
          <w:lang w:val="en-US" w:eastAsia="zh-CN"/>
        </w:rPr>
        <w:t xml:space="preserve">  </w:t>
      </w:r>
      <w:r>
        <w:rPr>
          <w:rFonts w:hint="eastAsia" w:ascii="楷体_GB2312" w:eastAsia="楷体_GB2312" w:hAnsiTheme="minorEastAsia"/>
          <w:szCs w:val="21"/>
        </w:rPr>
        <w:t>资源利用管理</w:t>
      </w:r>
    </w:p>
    <w:p>
      <w:pPr>
        <w:ind w:firstLine="628" w:firstLineChars="200"/>
        <w:rPr>
          <w:rFonts w:ascii="楷体_GB2312" w:eastAsia="楷体_GB2312" w:hAnsiTheme="minorEastAsia"/>
          <w:szCs w:val="21"/>
        </w:rPr>
      </w:pPr>
      <w:r>
        <w:rPr>
          <w:rFonts w:hint="eastAsia" w:ascii="楷体_GB2312" w:eastAsia="楷体_GB2312" w:hAnsiTheme="minorEastAsia"/>
          <w:szCs w:val="21"/>
        </w:rPr>
        <w:t>第四章</w:t>
      </w:r>
      <w:r>
        <w:rPr>
          <w:rFonts w:hint="eastAsia" w:ascii="楷体_GB2312" w:eastAsia="楷体_GB2312" w:hAnsiTheme="minorEastAsia"/>
          <w:szCs w:val="21"/>
          <w:lang w:val="en-US" w:eastAsia="zh-CN"/>
        </w:rPr>
        <w:t xml:space="preserve">  </w:t>
      </w:r>
      <w:r>
        <w:rPr>
          <w:rFonts w:hint="eastAsia" w:ascii="楷体_GB2312" w:eastAsia="楷体_GB2312" w:hAnsiTheme="minorEastAsia"/>
          <w:szCs w:val="21"/>
        </w:rPr>
        <w:t>法律责任</w:t>
      </w:r>
    </w:p>
    <w:p>
      <w:pPr>
        <w:ind w:firstLine="628" w:firstLineChars="200"/>
        <w:rPr>
          <w:rFonts w:ascii="楷体_GB2312" w:eastAsia="楷体_GB2312" w:hAnsiTheme="minorEastAsia"/>
          <w:szCs w:val="21"/>
        </w:rPr>
      </w:pPr>
      <w:r>
        <w:rPr>
          <w:rFonts w:hint="eastAsia" w:ascii="楷体_GB2312" w:eastAsia="楷体_GB2312" w:hAnsiTheme="minorEastAsia"/>
          <w:szCs w:val="21"/>
        </w:rPr>
        <w:t>第五章</w:t>
      </w:r>
      <w:r>
        <w:rPr>
          <w:rFonts w:hint="eastAsia" w:ascii="楷体_GB2312" w:eastAsia="楷体_GB2312" w:hAnsiTheme="minorEastAsia"/>
          <w:szCs w:val="21"/>
          <w:lang w:val="en-US" w:eastAsia="zh-CN"/>
        </w:rPr>
        <w:t xml:space="preserve">  </w:t>
      </w:r>
      <w:r>
        <w:rPr>
          <w:rFonts w:hint="eastAsia" w:ascii="楷体_GB2312" w:eastAsia="楷体_GB2312" w:hAnsiTheme="minorEastAsia"/>
          <w:szCs w:val="21"/>
        </w:rPr>
        <w:t>附则</w:t>
      </w:r>
    </w:p>
    <w:p>
      <w:pPr>
        <w:jc w:val="center"/>
        <w:rPr>
          <w:rFonts w:asciiTheme="minorEastAsia" w:hAnsiTheme="minorEastAsia"/>
          <w:szCs w:val="21"/>
        </w:rPr>
      </w:pPr>
    </w:p>
    <w:p>
      <w:pPr>
        <w:jc w:val="center"/>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第一章</w:t>
      </w:r>
      <w:r>
        <w:rPr>
          <w:rFonts w:hint="eastAsia" w:ascii="黑体" w:hAnsi="黑体" w:eastAsia="黑体"/>
          <w:szCs w:val="21"/>
          <w:lang w:val="en-US" w:eastAsia="zh-CN"/>
        </w:rPr>
        <w:t xml:space="preserve">  </w:t>
      </w:r>
      <w:r>
        <w:rPr>
          <w:rFonts w:hint="eastAsia" w:ascii="黑体" w:hAnsi="黑体" w:eastAsia="黑体"/>
          <w:szCs w:val="21"/>
        </w:rPr>
        <w:t>总则</w:t>
      </w:r>
    </w:p>
    <w:p>
      <w:pPr>
        <w:jc w:val="center"/>
        <w:rPr>
          <w:rFonts w:asciiTheme="minorEastAsia" w:hAnsiTheme="minorEastAsia"/>
          <w:szCs w:val="21"/>
        </w:rPr>
      </w:pPr>
    </w:p>
    <w:p>
      <w:pPr>
        <w:ind w:firstLine="628" w:firstLineChars="200"/>
        <w:jc w:val="left"/>
        <w:rPr>
          <w:rFonts w:asciiTheme="minorEastAsia" w:hAnsiTheme="minorEastAsia"/>
          <w:szCs w:val="21"/>
        </w:rPr>
      </w:pPr>
      <w:r>
        <w:rPr>
          <w:rFonts w:hint="eastAsia" w:ascii="黑体" w:hAnsi="黑体" w:eastAsia="黑体"/>
          <w:szCs w:val="21"/>
        </w:rPr>
        <w:t>第一条</w:t>
      </w:r>
      <w:r>
        <w:rPr>
          <w:rFonts w:hint="eastAsia" w:ascii="黑体" w:hAnsi="黑体" w:eastAsia="黑体"/>
          <w:szCs w:val="21"/>
          <w:lang w:val="en-US" w:eastAsia="zh-CN"/>
        </w:rPr>
        <w:t xml:space="preserve">  </w:t>
      </w:r>
      <w:r>
        <w:rPr>
          <w:rFonts w:hint="eastAsia" w:asciiTheme="minorEastAsia" w:hAnsiTheme="minorEastAsia"/>
          <w:szCs w:val="21"/>
          <w:lang w:val="en-US" w:eastAsia="zh-CN"/>
        </w:rPr>
        <w:t>为了保护和恢复海洋特别保护区的生态系统及其功能，科学、合理利用海洋资源，促进经济和社会的可持续发展,根据《中华人民共和国海洋环境保护法》《中华人民共和国渔业法》《中华人民共和国海上交通安全法》和有关法律、法规，结合本市实际，制定本条例。</w:t>
      </w:r>
    </w:p>
    <w:p>
      <w:pPr>
        <w:ind w:firstLine="628" w:firstLineChars="200"/>
        <w:jc w:val="left"/>
        <w:rPr>
          <w:rFonts w:asciiTheme="minorEastAsia" w:hAnsiTheme="minorEastAsia"/>
          <w:szCs w:val="21"/>
        </w:rPr>
      </w:pPr>
      <w:r>
        <w:rPr>
          <w:rFonts w:hint="eastAsia" w:ascii="黑体" w:hAnsi="黑体" w:eastAsia="黑体"/>
          <w:szCs w:val="21"/>
        </w:rPr>
        <w:t>第二条</w:t>
      </w:r>
      <w:r>
        <w:rPr>
          <w:rFonts w:hint="eastAsia" w:ascii="黑体" w:hAnsi="黑体" w:eastAsia="黑体"/>
          <w:szCs w:val="21"/>
          <w:lang w:val="en-US" w:eastAsia="zh-CN"/>
        </w:rPr>
        <w:t xml:space="preserve">  </w:t>
      </w:r>
      <w:r>
        <w:rPr>
          <w:rFonts w:hint="eastAsia" w:asciiTheme="minorEastAsia" w:hAnsiTheme="minorEastAsia"/>
          <w:szCs w:val="21"/>
        </w:rPr>
        <w:t>本条例适用于国家海洋行政主管部门批准设立的浙江嵊泗马鞍列岛海洋特别保护区、浙江普陀中街山列岛海洋特别保护区（以下统称保护区）的规划、建设、保护、利用和监督管理等活动。</w:t>
      </w:r>
    </w:p>
    <w:p>
      <w:pPr>
        <w:ind w:firstLine="628" w:firstLineChars="200"/>
        <w:jc w:val="left"/>
        <w:rPr>
          <w:rFonts w:asciiTheme="minorEastAsia" w:hAnsiTheme="minorEastAsia"/>
          <w:szCs w:val="21"/>
        </w:rPr>
      </w:pPr>
      <w:r>
        <w:rPr>
          <w:rFonts w:hint="eastAsia" w:asciiTheme="minorEastAsia" w:hAnsiTheme="minorEastAsia"/>
          <w:szCs w:val="21"/>
        </w:rPr>
        <w:t>保护区的具体范围以国家海洋行政主管部门批准的边界坐标连线成区为准。</w:t>
      </w:r>
    </w:p>
    <w:p>
      <w:pPr>
        <w:ind w:firstLine="628" w:firstLineChars="200"/>
        <w:jc w:val="left"/>
        <w:rPr>
          <w:rFonts w:asciiTheme="minorEastAsia" w:hAnsiTheme="minorEastAsia"/>
          <w:szCs w:val="21"/>
        </w:rPr>
      </w:pPr>
      <w:r>
        <w:rPr>
          <w:rFonts w:hint="eastAsia" w:asciiTheme="minorEastAsia" w:hAnsiTheme="minorEastAsia"/>
          <w:szCs w:val="21"/>
        </w:rPr>
        <w:t>保护区内军事设施的保护</w:t>
      </w:r>
      <w:r>
        <w:rPr>
          <w:rFonts w:hint="eastAsia" w:asciiTheme="minorEastAsia" w:hAnsiTheme="minorEastAsia"/>
          <w:szCs w:val="21"/>
          <w:lang w:eastAsia="zh-CN"/>
        </w:rPr>
        <w:t>，</w:t>
      </w:r>
      <w:r>
        <w:rPr>
          <w:rFonts w:hint="eastAsia" w:asciiTheme="minorEastAsia" w:hAnsiTheme="minorEastAsia"/>
          <w:szCs w:val="21"/>
        </w:rPr>
        <w:t>依照《中华人民共和国军事设施保护法》《中华人民共和国军事设施保护法实施办法》等有关法律、法规的规定执行。</w:t>
      </w:r>
    </w:p>
    <w:p>
      <w:pPr>
        <w:ind w:firstLine="628" w:firstLineChars="200"/>
        <w:jc w:val="left"/>
        <w:rPr>
          <w:rFonts w:asciiTheme="minorEastAsia" w:hAnsiTheme="minorEastAsia"/>
          <w:szCs w:val="21"/>
        </w:rPr>
      </w:pPr>
      <w:r>
        <w:rPr>
          <w:rFonts w:hint="eastAsia" w:ascii="黑体" w:hAnsi="黑体" w:eastAsia="黑体"/>
          <w:szCs w:val="21"/>
        </w:rPr>
        <w:t>第三条</w:t>
      </w:r>
      <w:r>
        <w:rPr>
          <w:rFonts w:hint="eastAsia" w:ascii="黑体" w:hAnsi="黑体" w:eastAsia="黑体"/>
          <w:szCs w:val="21"/>
          <w:lang w:val="en-US" w:eastAsia="zh-CN"/>
        </w:rPr>
        <w:t xml:space="preserve">  </w:t>
      </w:r>
      <w:r>
        <w:rPr>
          <w:rFonts w:hint="eastAsia" w:asciiTheme="minorEastAsia" w:hAnsiTheme="minorEastAsia"/>
          <w:szCs w:val="21"/>
        </w:rPr>
        <w:t>保护区实行科学规划、统一管理、保护优先、适度利用的原则，并兼顾当地居民生产、生活需求。</w:t>
      </w:r>
    </w:p>
    <w:p>
      <w:pPr>
        <w:ind w:firstLine="628" w:firstLineChars="200"/>
        <w:jc w:val="left"/>
        <w:rPr>
          <w:rFonts w:hint="eastAsia" w:ascii="仿宋_GB2312" w:hAnsi="仿宋_GB2312" w:eastAsia="仿宋_GB2312" w:cs="仿宋_GB2312"/>
          <w:b w:val="0"/>
          <w:bCs w:val="0"/>
          <w:szCs w:val="21"/>
          <w:lang w:val="en-US" w:eastAsia="zh-CN"/>
        </w:rPr>
      </w:pPr>
      <w:r>
        <w:rPr>
          <w:rFonts w:hint="eastAsia" w:ascii="黑体" w:hAnsi="黑体" w:eastAsia="黑体"/>
          <w:szCs w:val="21"/>
        </w:rPr>
        <w:t>第四条</w:t>
      </w:r>
      <w:r>
        <w:rPr>
          <w:rFonts w:hint="eastAsia" w:ascii="黑体" w:hAnsi="黑体" w:eastAsia="黑体"/>
          <w:szCs w:val="21"/>
          <w:lang w:val="en-US" w:eastAsia="zh-CN"/>
        </w:rPr>
        <w:t xml:space="preserve">  </w:t>
      </w:r>
      <w:r>
        <w:rPr>
          <w:rFonts w:hint="eastAsia" w:ascii="仿宋_GB2312" w:hAnsi="仿宋_GB2312" w:eastAsia="仿宋_GB2312" w:cs="仿宋_GB2312"/>
          <w:b w:val="0"/>
          <w:bCs w:val="0"/>
          <w:szCs w:val="21"/>
          <w:lang w:val="en-US" w:eastAsia="zh-CN"/>
        </w:rPr>
        <w:t>市及保护区所在地县(区)人民政府应当加强对保护区工作的领导</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建立保护区管理协调机制</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统筹协调、解决有关重大问题</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建设数字化、智能化监管体系</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并将保护区规划、建设、保护和利用列入国民经济和社会发展规划及年度计划。</w:t>
      </w:r>
    </w:p>
    <w:p>
      <w:pPr>
        <w:ind w:firstLine="628" w:firstLineChars="200"/>
        <w:jc w:val="left"/>
        <w:rPr>
          <w:rFonts w:hint="eastAsia" w:ascii="仿宋_GB2312" w:hAnsi="仿宋_GB2312" w:eastAsia="仿宋_GB2312" w:cs="仿宋_GB2312"/>
          <w:b w:val="0"/>
          <w:bCs w:val="0"/>
          <w:szCs w:val="21"/>
          <w:lang w:val="en-US" w:eastAsia="zh-CN"/>
        </w:rPr>
      </w:pPr>
      <w:r>
        <w:rPr>
          <w:rFonts w:hint="eastAsia" w:ascii="仿宋_GB2312" w:hAnsi="仿宋_GB2312" w:eastAsia="仿宋_GB2312" w:cs="仿宋_GB2312"/>
          <w:b w:val="0"/>
          <w:bCs w:val="0"/>
          <w:szCs w:val="21"/>
          <w:lang w:val="en-US" w:eastAsia="zh-CN"/>
        </w:rPr>
        <w:t>市及保护区所在地县(区)海洋、渔业主管部门负责保护区的监督与管理。</w:t>
      </w:r>
    </w:p>
    <w:p>
      <w:pPr>
        <w:ind w:firstLine="628" w:firstLineChars="200"/>
        <w:jc w:val="left"/>
        <w:rPr>
          <w:rFonts w:asciiTheme="minorEastAsia" w:hAnsiTheme="minorEastAsia"/>
          <w:szCs w:val="21"/>
        </w:rPr>
      </w:pPr>
      <w:r>
        <w:rPr>
          <w:rFonts w:hint="eastAsia" w:ascii="仿宋_GB2312" w:hAnsi="仿宋_GB2312" w:eastAsia="仿宋_GB2312" w:cs="仿宋_GB2312"/>
          <w:b w:val="0"/>
          <w:bCs w:val="0"/>
          <w:szCs w:val="21"/>
          <w:lang w:val="en-US" w:eastAsia="zh-CN"/>
        </w:rPr>
        <w:t>发展改革、科技、公安、财政、自然资源和规划、生态环境、住房城乡建设、交通运输、农业农村、文广旅体、市场监督管理、港航、应急管理、海事等部门应当按照各自职责</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共同做好保护区管理的相关工作。</w:t>
      </w:r>
    </w:p>
    <w:p>
      <w:pPr>
        <w:ind w:firstLine="628" w:firstLineChars="200"/>
        <w:jc w:val="left"/>
        <w:rPr>
          <w:rFonts w:asciiTheme="minorEastAsia" w:hAnsiTheme="minorEastAsia"/>
          <w:szCs w:val="21"/>
        </w:rPr>
      </w:pPr>
      <w:r>
        <w:rPr>
          <w:rFonts w:hint="eastAsia" w:ascii="黑体" w:hAnsi="黑体" w:eastAsia="黑体"/>
          <w:szCs w:val="21"/>
        </w:rPr>
        <w:t>第五条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保护区所在地县(区)人民政府设立的保护区管理机构,应当落实人员和装备,负责保护区具体管理工作。保护区管理机构履行以下职责</w:t>
      </w:r>
      <w:r>
        <w:rPr>
          <w:rFonts w:hint="eastAsia" w:asciiTheme="minorEastAsia" w:hAnsiTheme="minorEastAsia"/>
          <w:szCs w:val="21"/>
        </w:rPr>
        <w:t>：</w:t>
      </w:r>
    </w:p>
    <w:p>
      <w:pPr>
        <w:ind w:firstLine="628" w:firstLineChars="200"/>
        <w:jc w:val="left"/>
        <w:rPr>
          <w:rFonts w:asciiTheme="minorEastAsia" w:hAnsiTheme="minorEastAsia"/>
          <w:szCs w:val="21"/>
        </w:rPr>
      </w:pPr>
      <w:r>
        <w:rPr>
          <w:rFonts w:hint="eastAsia" w:asciiTheme="minorEastAsia" w:hAnsiTheme="minorEastAsia"/>
          <w:szCs w:val="21"/>
        </w:rPr>
        <w:t>（一）贯彻落实有关保护区的法律、法规；</w:t>
      </w:r>
    </w:p>
    <w:p>
      <w:pPr>
        <w:ind w:firstLine="628" w:firstLineChars="200"/>
        <w:jc w:val="left"/>
        <w:rPr>
          <w:rFonts w:asciiTheme="minorEastAsia" w:hAnsiTheme="minorEastAsia"/>
          <w:szCs w:val="21"/>
        </w:rPr>
      </w:pPr>
      <w:r>
        <w:rPr>
          <w:rFonts w:hint="eastAsia" w:asciiTheme="minorEastAsia" w:hAnsiTheme="minorEastAsia"/>
          <w:szCs w:val="21"/>
        </w:rPr>
        <w:t>（二）制定和实施保护区管理制度，实施保护区总体规划和保护与适度利用计划；</w:t>
      </w:r>
    </w:p>
    <w:p>
      <w:pPr>
        <w:ind w:firstLine="628" w:firstLineChars="200"/>
        <w:jc w:val="left"/>
        <w:rPr>
          <w:rFonts w:asciiTheme="minorEastAsia" w:hAnsiTheme="minorEastAsia"/>
          <w:szCs w:val="21"/>
        </w:rPr>
      </w:pPr>
      <w:r>
        <w:rPr>
          <w:rFonts w:hint="eastAsia" w:asciiTheme="minorEastAsia" w:hAnsiTheme="minorEastAsia"/>
          <w:szCs w:val="21"/>
        </w:rPr>
        <w:t>（三）落实保护区生态补偿、生态保护和恢复措施；</w:t>
      </w:r>
    </w:p>
    <w:p>
      <w:pPr>
        <w:ind w:firstLine="628" w:firstLineChars="200"/>
        <w:jc w:val="left"/>
        <w:rPr>
          <w:rFonts w:asciiTheme="minorEastAsia" w:hAnsiTheme="minorEastAsia"/>
          <w:szCs w:val="21"/>
        </w:rPr>
      </w:pPr>
      <w:r>
        <w:rPr>
          <w:rFonts w:hint="eastAsia" w:asciiTheme="minorEastAsia" w:hAnsiTheme="minorEastAsia"/>
          <w:szCs w:val="21"/>
        </w:rPr>
        <w:t>（四）组织建设保护区管护、监测、科研等设施；</w:t>
      </w:r>
    </w:p>
    <w:p>
      <w:pPr>
        <w:ind w:firstLine="628" w:firstLineChars="200"/>
        <w:jc w:val="left"/>
        <w:rPr>
          <w:rFonts w:asciiTheme="minorEastAsia" w:hAnsiTheme="minorEastAsia"/>
          <w:szCs w:val="21"/>
        </w:rPr>
      </w:pPr>
      <w:r>
        <w:rPr>
          <w:rFonts w:hint="eastAsia" w:asciiTheme="minorEastAsia" w:hAnsiTheme="minorEastAsia"/>
          <w:szCs w:val="21"/>
        </w:rPr>
        <w:t>（五）组织开展保护区海洋资源和生态环境的调查、监测、监视、评价、科学研究活动；</w:t>
      </w:r>
    </w:p>
    <w:p>
      <w:pPr>
        <w:ind w:firstLine="628" w:firstLineChars="200"/>
        <w:jc w:val="left"/>
        <w:rPr>
          <w:rFonts w:asciiTheme="minorEastAsia" w:hAnsiTheme="minorEastAsia"/>
          <w:szCs w:val="21"/>
        </w:rPr>
      </w:pPr>
      <w:r>
        <w:rPr>
          <w:rFonts w:hint="eastAsia" w:asciiTheme="minorEastAsia" w:hAnsiTheme="minorEastAsia"/>
          <w:szCs w:val="21"/>
        </w:rPr>
        <w:t>（六）组织开展保护区日常巡护管理，组织实施保护区保护、利用、权益维护等各项活动；</w:t>
      </w:r>
    </w:p>
    <w:p>
      <w:pPr>
        <w:ind w:firstLine="628" w:firstLineChars="200"/>
        <w:jc w:val="left"/>
        <w:rPr>
          <w:rFonts w:asciiTheme="minorEastAsia" w:hAnsiTheme="minorEastAsia"/>
          <w:szCs w:val="21"/>
        </w:rPr>
      </w:pPr>
      <w:r>
        <w:rPr>
          <w:rFonts w:hint="eastAsia" w:asciiTheme="minorEastAsia" w:hAnsiTheme="minorEastAsia"/>
          <w:szCs w:val="21"/>
        </w:rPr>
        <w:t>（七）对违反本条例及保护区管理制度的行为进行调查；</w:t>
      </w:r>
    </w:p>
    <w:p>
      <w:pPr>
        <w:ind w:firstLine="628" w:firstLineChars="200"/>
        <w:jc w:val="left"/>
        <w:rPr>
          <w:rFonts w:asciiTheme="minorEastAsia" w:hAnsiTheme="minorEastAsia"/>
          <w:szCs w:val="21"/>
        </w:rPr>
      </w:pPr>
      <w:r>
        <w:rPr>
          <w:rFonts w:hint="eastAsia" w:asciiTheme="minorEastAsia" w:hAnsiTheme="minorEastAsia"/>
          <w:szCs w:val="21"/>
        </w:rPr>
        <w:t>（八）对保护区以适当方式设置界标和标牌；</w:t>
      </w:r>
    </w:p>
    <w:p>
      <w:pPr>
        <w:ind w:firstLine="628" w:firstLineChars="200"/>
        <w:jc w:val="left"/>
        <w:rPr>
          <w:rFonts w:asciiTheme="minorEastAsia" w:hAnsiTheme="minorEastAsia"/>
          <w:szCs w:val="21"/>
        </w:rPr>
      </w:pPr>
      <w:r>
        <w:rPr>
          <w:rFonts w:hint="eastAsia" w:asciiTheme="minorEastAsia" w:hAnsiTheme="minorEastAsia"/>
          <w:szCs w:val="21"/>
        </w:rPr>
        <w:t>（九）发布保护区相关信息；</w:t>
      </w:r>
    </w:p>
    <w:p>
      <w:pPr>
        <w:ind w:firstLine="628" w:firstLineChars="200"/>
        <w:jc w:val="left"/>
        <w:rPr>
          <w:rFonts w:hint="eastAsia" w:asciiTheme="minorEastAsia" w:hAnsiTheme="minorEastAsia"/>
          <w:szCs w:val="21"/>
        </w:rPr>
      </w:pPr>
      <w:r>
        <w:rPr>
          <w:rFonts w:hint="eastAsia" w:asciiTheme="minorEastAsia" w:hAnsiTheme="minorEastAsia"/>
          <w:szCs w:val="21"/>
        </w:rPr>
        <w:t>（十）法律、法规规定的其他职责。</w:t>
      </w:r>
    </w:p>
    <w:p>
      <w:pPr>
        <w:pStyle w:val="2"/>
        <w:rPr>
          <w:rFonts w:hint="eastAsia" w:ascii="仿宋_GB2312" w:hAnsi="仿宋_GB2312" w:eastAsia="仿宋_GB2312" w:cs="仿宋_GB2312"/>
          <w:b w:val="0"/>
          <w:bCs w:val="0"/>
          <w:lang w:val="en-US" w:eastAsia="zh-CN"/>
        </w:rPr>
      </w:pPr>
      <w:r>
        <w:rPr>
          <w:rFonts w:hint="eastAsia" w:asciiTheme="minorEastAsia" w:hAnsiTheme="minorEastAsia"/>
          <w:szCs w:val="21"/>
          <w:lang w:val="en-US" w:eastAsia="zh-CN"/>
        </w:rPr>
        <w:t xml:space="preserve">    </w:t>
      </w:r>
      <w:r>
        <w:rPr>
          <w:rFonts w:hint="eastAsia" w:ascii="黑体" w:hAnsi="黑体" w:eastAsia="黑体" w:cs="黑体"/>
          <w:szCs w:val="21"/>
          <w:lang w:val="en-US" w:eastAsia="zh-CN"/>
        </w:rPr>
        <w:t xml:space="preserve">第六条  </w:t>
      </w:r>
      <w:r>
        <w:rPr>
          <w:rFonts w:hint="eastAsia" w:ascii="仿宋_GB2312" w:hAnsi="仿宋_GB2312" w:eastAsia="仿宋_GB2312" w:cs="仿宋_GB2312"/>
          <w:b w:val="0"/>
          <w:bCs w:val="0"/>
          <w:szCs w:val="21"/>
          <w:lang w:val="en-US" w:eastAsia="zh-CN"/>
        </w:rPr>
        <w:t>保护区所在地乡(镇)人民政府应当履行属地管理职责</w:t>
      </w:r>
      <w:r>
        <w:rPr>
          <w:rFonts w:hint="eastAsia" w:ascii="仿宋_GB2312" w:hAnsi="仿宋_GB2312" w:cs="仿宋_GB2312"/>
          <w:b w:val="0"/>
          <w:bCs w:val="0"/>
          <w:szCs w:val="21"/>
          <w:lang w:val="en-US" w:eastAsia="zh-CN"/>
        </w:rPr>
        <w:t>，</w:t>
      </w:r>
      <w:r>
        <w:rPr>
          <w:rFonts w:hint="eastAsia" w:ascii="仿宋_GB2312" w:hAnsi="仿宋_GB2312" w:eastAsia="仿宋_GB2312" w:cs="仿宋_GB2312"/>
          <w:b w:val="0"/>
          <w:bCs w:val="0"/>
          <w:szCs w:val="21"/>
          <w:lang w:val="en-US" w:eastAsia="zh-CN"/>
        </w:rPr>
        <w:t>并协助保护区管理机构及有关主管部门做好保护区的相关工作。</w:t>
      </w:r>
    </w:p>
    <w:p>
      <w:pPr>
        <w:ind w:firstLine="628" w:firstLineChars="200"/>
        <w:jc w:val="left"/>
        <w:rPr>
          <w:rFonts w:hint="eastAsia" w:ascii="仿宋_GB2312" w:hAnsi="仿宋_GB2312" w:eastAsia="仿宋_GB2312" w:cs="仿宋_GB2312"/>
          <w:szCs w:val="21"/>
        </w:rPr>
      </w:pPr>
      <w:r>
        <w:rPr>
          <w:rFonts w:hint="eastAsia" w:ascii="黑体" w:hAnsi="黑体" w:eastAsia="黑体"/>
          <w:szCs w:val="21"/>
        </w:rPr>
        <w:t>第</w:t>
      </w:r>
      <w:r>
        <w:rPr>
          <w:rFonts w:hint="eastAsia" w:ascii="黑体" w:hAnsi="黑体" w:eastAsia="黑体"/>
          <w:szCs w:val="21"/>
          <w:lang w:eastAsia="zh-CN"/>
        </w:rPr>
        <w:t>七</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市及保护区所在地县(区)人民政府应当保障保护区规划、建设、管理、保护和利用等活动所需的资金。</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八</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保护区管理机构应当建立公众参与机制，为公民、法人以及其他组织参与和监督保护区管理活动提供便利。</w:t>
      </w:r>
    </w:p>
    <w:p>
      <w:pPr>
        <w:ind w:firstLine="628" w:firstLineChars="200"/>
        <w:jc w:val="left"/>
        <w:rPr>
          <w:rFonts w:asciiTheme="minorEastAsia" w:hAnsiTheme="minorEastAsia"/>
          <w:szCs w:val="21"/>
        </w:rPr>
      </w:pPr>
      <w:r>
        <w:rPr>
          <w:rFonts w:hint="eastAsia" w:asciiTheme="minorEastAsia" w:hAnsiTheme="minorEastAsia"/>
          <w:szCs w:val="21"/>
        </w:rPr>
        <w:t>保护区所在地县（区）人民政府应当鼓励、支持和引导保护区内的群众建立自治组织，参与保护区的保护、建设和管理。</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九</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任何单位和个人均有义务协助和支持保护区管理，并有权对破坏、侵占保护区的行为进行举报。</w:t>
      </w:r>
    </w:p>
    <w:p>
      <w:pPr>
        <w:ind w:firstLine="628" w:firstLineChars="200"/>
        <w:jc w:val="left"/>
        <w:rPr>
          <w:rFonts w:asciiTheme="minorEastAsia" w:hAnsiTheme="minorEastAsia"/>
          <w:szCs w:val="21"/>
        </w:rPr>
      </w:pPr>
      <w:r>
        <w:rPr>
          <w:rFonts w:hint="eastAsia" w:asciiTheme="minorEastAsia" w:hAnsiTheme="minorEastAsia"/>
          <w:szCs w:val="21"/>
        </w:rPr>
        <w:t>对在保护区保护、建设和管理工作中做出突出贡献、有显著成绩的单位和个人，保护区所在地县（区）人民政府应当予以奖励。</w:t>
      </w:r>
    </w:p>
    <w:p>
      <w:pPr>
        <w:jc w:val="center"/>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第二章</w:t>
      </w:r>
      <w:r>
        <w:rPr>
          <w:rFonts w:hint="eastAsia" w:ascii="黑体" w:hAnsi="黑体" w:eastAsia="黑体"/>
          <w:szCs w:val="21"/>
          <w:lang w:val="en-US" w:eastAsia="zh-CN"/>
        </w:rPr>
        <w:t xml:space="preserve">  </w:t>
      </w:r>
      <w:r>
        <w:rPr>
          <w:rFonts w:hint="eastAsia" w:ascii="黑体" w:hAnsi="黑体" w:eastAsia="黑体"/>
          <w:szCs w:val="21"/>
        </w:rPr>
        <w:t>资源与生态环境保护</w:t>
      </w:r>
    </w:p>
    <w:p>
      <w:pPr>
        <w:jc w:val="center"/>
        <w:rPr>
          <w:rFonts w:asciiTheme="minorEastAsia" w:hAnsiTheme="minorEastAsia"/>
          <w:szCs w:val="21"/>
        </w:rPr>
      </w:pP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十</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 w:eastAsia="仿宋_GB2312" w:cs="仿宋"/>
          <w:sz w:val="32"/>
          <w:szCs w:val="32"/>
        </w:rPr>
        <w:t>保护区所在地县(区)人民政府及其保护区管理机构应当采取措施</w:t>
      </w:r>
      <w:r>
        <w:rPr>
          <w:rFonts w:hint="eastAsia" w:ascii="仿宋_GB2312" w:hAnsi="仿宋" w:cs="仿宋"/>
          <w:sz w:val="32"/>
          <w:szCs w:val="32"/>
          <w:lang w:eastAsia="zh-CN"/>
        </w:rPr>
        <w:t>，</w:t>
      </w:r>
      <w:r>
        <w:rPr>
          <w:rFonts w:hint="eastAsia" w:ascii="仿宋_GB2312" w:hAnsi="仿宋" w:eastAsia="仿宋_GB2312" w:cs="仿宋"/>
          <w:sz w:val="32"/>
          <w:szCs w:val="32"/>
        </w:rPr>
        <w:t>按照生物多样性保护要求</w:t>
      </w:r>
      <w:r>
        <w:rPr>
          <w:rFonts w:hint="eastAsia" w:ascii="仿宋_GB2312" w:hAnsi="仿宋" w:cs="仿宋"/>
          <w:sz w:val="32"/>
          <w:szCs w:val="32"/>
          <w:lang w:eastAsia="zh-CN"/>
        </w:rPr>
        <w:t>，</w:t>
      </w:r>
      <w:r>
        <w:rPr>
          <w:rFonts w:hint="eastAsia" w:ascii="仿宋_GB2312" w:hAnsi="仿宋" w:eastAsia="仿宋_GB2312" w:cs="仿宋"/>
          <w:sz w:val="32"/>
          <w:szCs w:val="32"/>
        </w:rPr>
        <w:t>严格保护典型海洋生态系统分布区、海洋珍稀濒危动植物物种和自然岸线、自然景观、水下文物、历史遗迹</w:t>
      </w:r>
      <w:r>
        <w:rPr>
          <w:rFonts w:hint="eastAsia" w:ascii="仿宋_GB2312" w:hAnsi="仿宋" w:cs="仿宋"/>
          <w:sz w:val="32"/>
          <w:szCs w:val="32"/>
          <w:lang w:eastAsia="zh-CN"/>
        </w:rPr>
        <w:t>，</w:t>
      </w:r>
      <w:r>
        <w:rPr>
          <w:rFonts w:hint="eastAsia" w:ascii="仿宋_GB2312" w:hAnsi="仿宋" w:eastAsia="仿宋_GB2312" w:cs="仿宋"/>
          <w:sz w:val="32"/>
          <w:szCs w:val="32"/>
        </w:rPr>
        <w:t>以及重要海洋渔业资源种类的洄游通道、产卵场、索饵场、越冬场等各类重要海洋生态区域。</w:t>
      </w:r>
    </w:p>
    <w:p>
      <w:pPr>
        <w:ind w:firstLine="628" w:firstLineChars="200"/>
        <w:jc w:val="left"/>
        <w:rPr>
          <w:rFonts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一</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保护区实行功能分区管理。根据生态环境与资源的特点及其保护与适度利用的需要，划定重点保护区、生态与资源恢复区、适度利用区等功能区。每类功能区可以根据实际需求分为若干小区。</w:t>
      </w:r>
    </w:p>
    <w:p>
      <w:pPr>
        <w:ind w:firstLine="628" w:firstLineChars="200"/>
        <w:jc w:val="left"/>
        <w:rPr>
          <w:rFonts w:asciiTheme="minorEastAsia" w:hAnsiTheme="minorEastAsia"/>
          <w:szCs w:val="21"/>
        </w:rPr>
      </w:pPr>
      <w:r>
        <w:rPr>
          <w:rFonts w:hint="eastAsia" w:asciiTheme="minorEastAsia" w:hAnsiTheme="minorEastAsia"/>
          <w:szCs w:val="21"/>
        </w:rPr>
        <w:t>在重点保护区内，禁止实施各种与保护无关的工程建设活动，严格限制各种海洋资源利用活动。</w:t>
      </w:r>
    </w:p>
    <w:p>
      <w:pPr>
        <w:ind w:firstLine="628" w:firstLineChars="200"/>
        <w:jc w:val="left"/>
        <w:rPr>
          <w:rFonts w:asciiTheme="minorEastAsia" w:hAnsiTheme="minorEastAsia"/>
          <w:szCs w:val="21"/>
        </w:rPr>
      </w:pPr>
      <w:r>
        <w:rPr>
          <w:rFonts w:hint="eastAsia" w:asciiTheme="minorEastAsia" w:hAnsiTheme="minorEastAsia"/>
          <w:szCs w:val="21"/>
        </w:rPr>
        <w:t>在生态与资源恢复区内，可以采取适当的人工生态治理与修复措施，恢复海洋生态、资源与关键生境。</w:t>
      </w:r>
    </w:p>
    <w:p>
      <w:pPr>
        <w:ind w:firstLine="628" w:firstLineChars="200"/>
        <w:jc w:val="left"/>
        <w:rPr>
          <w:rFonts w:asciiTheme="minorEastAsia" w:hAnsiTheme="minorEastAsia"/>
          <w:szCs w:val="21"/>
        </w:rPr>
      </w:pPr>
      <w:r>
        <w:rPr>
          <w:rFonts w:hint="eastAsia" w:asciiTheme="minorEastAsia" w:hAnsiTheme="minorEastAsia"/>
          <w:szCs w:val="21"/>
        </w:rPr>
        <w:t>在适度利用区内，在确保海洋生态系统安全的前提下，允许适度利用海洋资源。</w:t>
      </w:r>
    </w:p>
    <w:p>
      <w:pPr>
        <w:ind w:firstLine="628" w:firstLineChars="200"/>
        <w:jc w:val="left"/>
        <w:rPr>
          <w:rFonts w:asciiTheme="minorEastAsia" w:hAnsiTheme="minorEastAsia"/>
          <w:szCs w:val="21"/>
        </w:rPr>
      </w:pPr>
      <w:r>
        <w:rPr>
          <w:rFonts w:hint="eastAsia" w:asciiTheme="minorEastAsia" w:hAnsiTheme="minorEastAsia"/>
          <w:szCs w:val="21"/>
        </w:rPr>
        <w:t>保护区功能分区经依法批准后，由保护区管理机构公告后实施。保护区管理机构可以在保护区各功能分区边界的显著位置设置界标。</w:t>
      </w:r>
    </w:p>
    <w:p>
      <w:pPr>
        <w:ind w:firstLine="628" w:firstLineChars="200"/>
        <w:jc w:val="left"/>
        <w:rPr>
          <w:rFonts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二</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在保护区内可以采取设定禁渔期、禁渔区等措施，保护生物资源及其生存环境。</w:t>
      </w:r>
    </w:p>
    <w:p>
      <w:pPr>
        <w:ind w:firstLine="628" w:firstLineChars="200"/>
        <w:jc w:val="left"/>
        <w:rPr>
          <w:rFonts w:asciiTheme="minorEastAsia" w:hAnsiTheme="minorEastAsia"/>
          <w:szCs w:val="21"/>
        </w:rPr>
      </w:pPr>
      <w:r>
        <w:rPr>
          <w:rFonts w:hint="eastAsia" w:asciiTheme="minorEastAsia" w:hAnsiTheme="minorEastAsia"/>
          <w:szCs w:val="21"/>
        </w:rPr>
        <w:t>保护区管理机构应当根据海洋资源与生态环境状况定期监测的结果，拟定保护区的禁渔期、禁渔区，由保护区所在地县（区）人民政府报省渔业行政主管部门批准后公布执行。</w:t>
      </w:r>
    </w:p>
    <w:p>
      <w:pPr>
        <w:ind w:firstLine="628" w:firstLineChars="200"/>
        <w:jc w:val="left"/>
        <w:rPr>
          <w:rFonts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三</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在保护区内禁止实施下列行为：</w:t>
      </w:r>
    </w:p>
    <w:p>
      <w:pPr>
        <w:ind w:firstLine="628" w:firstLineChars="200"/>
        <w:jc w:val="left"/>
        <w:rPr>
          <w:rFonts w:asciiTheme="minorEastAsia" w:hAnsiTheme="minorEastAsia"/>
          <w:szCs w:val="21"/>
        </w:rPr>
      </w:pPr>
      <w:r>
        <w:rPr>
          <w:rFonts w:hint="eastAsia" w:asciiTheme="minorEastAsia" w:hAnsiTheme="minorEastAsia"/>
          <w:szCs w:val="21"/>
        </w:rPr>
        <w:t>（一）炸鱼、毒鱼、电鱼；</w:t>
      </w:r>
    </w:p>
    <w:p>
      <w:pPr>
        <w:ind w:firstLine="628" w:firstLineChars="200"/>
        <w:jc w:val="left"/>
        <w:rPr>
          <w:rFonts w:asciiTheme="minorEastAsia" w:hAnsiTheme="minorEastAsia"/>
          <w:szCs w:val="21"/>
        </w:rPr>
      </w:pPr>
      <w:r>
        <w:rPr>
          <w:rFonts w:hint="eastAsia" w:asciiTheme="minorEastAsia" w:hAnsiTheme="minorEastAsia"/>
          <w:szCs w:val="21"/>
        </w:rPr>
        <w:t>（二）使用供氧器具、智能潜水器具等辅助工具进行贝藻类潜水捕捞；</w:t>
      </w:r>
    </w:p>
    <w:p>
      <w:pPr>
        <w:ind w:firstLine="628" w:firstLineChars="200"/>
        <w:jc w:val="left"/>
        <w:rPr>
          <w:rFonts w:asciiTheme="minorEastAsia" w:hAnsiTheme="minorEastAsia"/>
          <w:szCs w:val="21"/>
        </w:rPr>
      </w:pPr>
      <w:r>
        <w:rPr>
          <w:rFonts w:hint="eastAsia" w:asciiTheme="minorEastAsia" w:hAnsiTheme="minorEastAsia"/>
          <w:szCs w:val="21"/>
        </w:rPr>
        <w:t>（三）狩猎，采拾鸟卵；</w:t>
      </w:r>
    </w:p>
    <w:p>
      <w:pPr>
        <w:ind w:firstLine="628" w:firstLineChars="200"/>
        <w:jc w:val="left"/>
        <w:rPr>
          <w:rFonts w:asciiTheme="minorEastAsia" w:hAnsiTheme="minorEastAsia"/>
          <w:szCs w:val="21"/>
        </w:rPr>
      </w:pPr>
      <w:r>
        <w:rPr>
          <w:rFonts w:hint="eastAsia" w:asciiTheme="minorEastAsia" w:hAnsiTheme="minorEastAsia"/>
          <w:szCs w:val="21"/>
        </w:rPr>
        <w:t>（四）直接向海域排放污染物；</w:t>
      </w:r>
    </w:p>
    <w:p>
      <w:pPr>
        <w:ind w:firstLine="628" w:firstLineChars="200"/>
        <w:jc w:val="left"/>
        <w:rPr>
          <w:rFonts w:asciiTheme="minorEastAsia" w:hAnsiTheme="minorEastAsia"/>
          <w:szCs w:val="21"/>
        </w:rPr>
      </w:pPr>
      <w:r>
        <w:rPr>
          <w:rFonts w:hint="eastAsia" w:asciiTheme="minorEastAsia" w:hAnsiTheme="minorEastAsia"/>
          <w:szCs w:val="21"/>
        </w:rPr>
        <w:t>（五）擅自移动、污损或者破坏界标、标牌和其他有关设施；</w:t>
      </w:r>
    </w:p>
    <w:p>
      <w:pPr>
        <w:ind w:firstLine="628" w:firstLineChars="200"/>
        <w:jc w:val="left"/>
        <w:rPr>
          <w:rFonts w:asciiTheme="minorEastAsia" w:hAnsiTheme="minorEastAsia"/>
          <w:szCs w:val="21"/>
        </w:rPr>
      </w:pPr>
      <w:r>
        <w:rPr>
          <w:rFonts w:hint="eastAsia" w:asciiTheme="minorEastAsia" w:hAnsiTheme="minorEastAsia"/>
          <w:szCs w:val="21"/>
        </w:rPr>
        <w:t>（六）法律、法规禁止的其他行为。</w:t>
      </w:r>
    </w:p>
    <w:p>
      <w:pPr>
        <w:ind w:firstLine="628" w:firstLineChars="200"/>
        <w:jc w:val="left"/>
        <w:rPr>
          <w:rFonts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四</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未经批准不得擅自在保护区内实施下列行为：</w:t>
      </w:r>
    </w:p>
    <w:p>
      <w:pPr>
        <w:ind w:firstLine="628" w:firstLineChars="200"/>
        <w:jc w:val="left"/>
        <w:rPr>
          <w:rFonts w:asciiTheme="minorEastAsia" w:hAnsiTheme="minorEastAsia"/>
          <w:szCs w:val="21"/>
        </w:rPr>
      </w:pPr>
      <w:r>
        <w:rPr>
          <w:rFonts w:hint="eastAsia" w:asciiTheme="minorEastAsia" w:hAnsiTheme="minorEastAsia"/>
          <w:szCs w:val="21"/>
        </w:rPr>
        <w:t>（一）贝藻类捕捞；</w:t>
      </w:r>
    </w:p>
    <w:p>
      <w:pPr>
        <w:ind w:firstLine="628" w:firstLineChars="200"/>
        <w:jc w:val="left"/>
        <w:rPr>
          <w:rFonts w:asciiTheme="minorEastAsia" w:hAnsiTheme="minorEastAsia"/>
          <w:szCs w:val="21"/>
        </w:rPr>
      </w:pPr>
      <w:r>
        <w:rPr>
          <w:rFonts w:hint="eastAsia" w:asciiTheme="minorEastAsia" w:hAnsiTheme="minorEastAsia"/>
          <w:szCs w:val="21"/>
        </w:rPr>
        <w:t>（二）海钓；</w:t>
      </w:r>
    </w:p>
    <w:p>
      <w:pPr>
        <w:ind w:firstLine="628" w:firstLineChars="200"/>
        <w:jc w:val="left"/>
        <w:rPr>
          <w:rFonts w:asciiTheme="minorEastAsia" w:hAnsiTheme="minorEastAsia"/>
          <w:szCs w:val="21"/>
        </w:rPr>
      </w:pPr>
      <w:r>
        <w:rPr>
          <w:rFonts w:hint="eastAsia" w:asciiTheme="minorEastAsia" w:hAnsiTheme="minorEastAsia"/>
          <w:szCs w:val="21"/>
        </w:rPr>
        <w:t>（三）开矿、采石、采砂；</w:t>
      </w:r>
    </w:p>
    <w:p>
      <w:pPr>
        <w:ind w:firstLine="628" w:firstLineChars="200"/>
        <w:jc w:val="left"/>
        <w:rPr>
          <w:rFonts w:asciiTheme="minorEastAsia" w:hAnsiTheme="minorEastAsia"/>
          <w:szCs w:val="21"/>
        </w:rPr>
      </w:pPr>
      <w:r>
        <w:rPr>
          <w:rFonts w:hint="eastAsia" w:asciiTheme="minorEastAsia" w:hAnsiTheme="minorEastAsia"/>
          <w:szCs w:val="21"/>
        </w:rPr>
        <w:t>（四）加工、销售、运输和携带以受保护的动植物等为原材料制作的商品；</w:t>
      </w:r>
    </w:p>
    <w:p>
      <w:pPr>
        <w:ind w:firstLine="628" w:firstLineChars="200"/>
        <w:jc w:val="left"/>
        <w:rPr>
          <w:rFonts w:asciiTheme="minorEastAsia" w:hAnsiTheme="minorEastAsia"/>
          <w:szCs w:val="21"/>
        </w:rPr>
      </w:pPr>
      <w:r>
        <w:rPr>
          <w:rFonts w:hint="eastAsia" w:asciiTheme="minorEastAsia" w:hAnsiTheme="minorEastAsia"/>
          <w:szCs w:val="21"/>
        </w:rPr>
        <w:t>（五）法律、法规规定的其他行为。</w:t>
      </w:r>
    </w:p>
    <w:p>
      <w:pPr>
        <w:ind w:firstLine="628" w:firstLineChars="200"/>
        <w:jc w:val="left"/>
        <w:rPr>
          <w:rFonts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五</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严格限制将外来物种引入保护区。确需引入的，由保护区管理机构组织论证后，报有审批权限的主管部门批准。</w:t>
      </w:r>
    </w:p>
    <w:p>
      <w:pPr>
        <w:ind w:firstLine="628" w:firstLineChars="200"/>
        <w:jc w:val="left"/>
        <w:rPr>
          <w:rFonts w:hint="eastAsia"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六</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在保护区内应当因地制宜，采取建设人工鱼礁、增殖放流、封礁育贝等人工和自然修复措施，修复和改善海洋生态环境。实施增殖放流应当符合有关法律、法规的规定。</w:t>
      </w:r>
    </w:p>
    <w:p>
      <w:pPr>
        <w:pStyle w:val="2"/>
        <w:ind w:firstLine="628" w:firstLineChars="200"/>
        <w:rPr>
          <w:rFonts w:hint="eastAsia" w:ascii="仿宋_GB2312" w:hAnsi="仿宋" w:eastAsia="仿宋_GB2312" w:cs="仿宋"/>
          <w:sz w:val="32"/>
          <w:szCs w:val="32"/>
        </w:rPr>
      </w:pPr>
      <w:r>
        <w:rPr>
          <w:rFonts w:hint="eastAsia" w:ascii="仿宋_GB2312" w:hAnsi="仿宋" w:eastAsia="仿宋_GB2312" w:cs="仿宋"/>
          <w:sz w:val="32"/>
          <w:szCs w:val="32"/>
        </w:rPr>
        <w:t>保护区所在地县(区)人民政府及其保护区管理机构应当鼓励、支持和引导企业、社会组织等单位和个人参与保护区渔业资源的增殖放流与养护。</w:t>
      </w:r>
    </w:p>
    <w:p>
      <w:pPr>
        <w:ind w:firstLine="628" w:firstLineChars="200"/>
        <w:jc w:val="left"/>
        <w:rPr>
          <w:rFonts w:hint="eastAsia" w:ascii="仿宋_GB2312" w:hAnsi="仿宋_GB2312" w:eastAsia="仿宋_GB2312" w:cs="仿宋_GB2312"/>
          <w:szCs w:val="21"/>
          <w:lang w:val="en-US" w:eastAsia="zh-CN"/>
        </w:rPr>
      </w:pPr>
      <w:r>
        <w:rPr>
          <w:rFonts w:hint="eastAsia" w:ascii="黑体" w:hAnsi="黑体" w:eastAsia="黑体"/>
          <w:szCs w:val="21"/>
        </w:rPr>
        <w:t>第十七条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在保护区内发展水产养殖应当符合国土空间规划、海洋生态环境保护和航道管理的要求。</w:t>
      </w:r>
    </w:p>
    <w:p>
      <w:pPr>
        <w:ind w:firstLine="628" w:firstLineChars="200"/>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在保护区内从事水产养殖应当科学确定养殖密度,使用新型环保水产养殖设备以及符合国家、省的有关规定和安全使用标准的水产养殖用投入品,防止污染海洋环境。</w:t>
      </w:r>
    </w:p>
    <w:p>
      <w:pPr>
        <w:ind w:firstLine="628" w:firstLineChars="200"/>
        <w:jc w:val="left"/>
        <w:rPr>
          <w:rFonts w:hint="eastAsia" w:asciiTheme="minorEastAsia" w:hAnsiTheme="minorEastAsia"/>
          <w:szCs w:val="21"/>
        </w:rPr>
      </w:pPr>
      <w:r>
        <w:rPr>
          <w:rFonts w:hint="eastAsia" w:ascii="黑体" w:hAnsi="黑体" w:eastAsia="黑体"/>
          <w:szCs w:val="21"/>
        </w:rPr>
        <w:t>第十</w:t>
      </w:r>
      <w:r>
        <w:rPr>
          <w:rFonts w:hint="eastAsia" w:ascii="黑体" w:hAnsi="黑体" w:eastAsia="黑体"/>
          <w:szCs w:val="21"/>
          <w:lang w:eastAsia="zh-CN"/>
        </w:rPr>
        <w:t>八</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在保护区内航行、停泊和作业的船舶，不得违反海洋环境保护法律法规的规定排放污染物、废弃物、压载水、船舶垃圾和其他有害物质。</w:t>
      </w:r>
    </w:p>
    <w:p>
      <w:pPr>
        <w:pStyle w:val="2"/>
        <w:rPr>
          <w:rFonts w:hint="eastAsia" w:ascii="仿宋_GB2312" w:hAnsi="仿宋_GB2312" w:eastAsia="仿宋_GB2312" w:cs="仿宋_GB2312"/>
          <w:szCs w:val="21"/>
          <w:lang w:val="en-US" w:eastAsia="zh-CN"/>
        </w:rPr>
      </w:pPr>
      <w:r>
        <w:rPr>
          <w:rFonts w:hint="eastAsia"/>
          <w:lang w:val="en-US" w:eastAsia="zh-CN"/>
        </w:rPr>
        <w:t xml:space="preserve">    </w:t>
      </w:r>
      <w:r>
        <w:rPr>
          <w:rFonts w:hint="eastAsia" w:ascii="黑体" w:hAnsi="黑体" w:eastAsia="黑体"/>
          <w:szCs w:val="21"/>
        </w:rPr>
        <w:t>第十</w:t>
      </w:r>
      <w:r>
        <w:rPr>
          <w:rFonts w:hint="eastAsia" w:ascii="黑体" w:hAnsi="黑体" w:eastAsia="黑体"/>
          <w:szCs w:val="21"/>
          <w:lang w:eastAsia="zh-CN"/>
        </w:rPr>
        <w:t>九</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严格控制保护区陆源污染物的排放总量,不得新建排污口,现有排污口应当逐步关停或者改造成离岸排放。</w:t>
      </w:r>
    </w:p>
    <w:p>
      <w:pPr>
        <w:pStyle w:val="2"/>
        <w:ind w:firstLine="628"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保护区内生活污水、工业废水以及餐饮服务等产生的污水,应当实现达标排放。</w:t>
      </w:r>
    </w:p>
    <w:p>
      <w:pPr>
        <w:pStyle w:val="2"/>
        <w:ind w:firstLine="628" w:firstLineChars="200"/>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完善保护区生活垃圾接收、转运以及处理等基础设施,全面实行生活垃圾分类管理。</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二十</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保护区管理机构应当组织保护区内有关单位共同制定保护区及其周围区域海洋污染、生态破坏及自然灾害应急预案，并报保护区所在地县（区）人民政府备案。</w:t>
      </w:r>
    </w:p>
    <w:p>
      <w:pPr>
        <w:ind w:firstLine="628" w:firstLineChars="200"/>
        <w:jc w:val="left"/>
        <w:rPr>
          <w:rFonts w:asciiTheme="minorEastAsia" w:hAnsiTheme="minorEastAsia"/>
          <w:szCs w:val="21"/>
        </w:rPr>
      </w:pPr>
      <w:r>
        <w:rPr>
          <w:rFonts w:hint="eastAsia" w:asciiTheme="minorEastAsia" w:hAnsiTheme="minorEastAsia"/>
          <w:szCs w:val="21"/>
        </w:rPr>
        <w:t>发生海洋环境污染、生态破坏事故和自然灾害时，有关部门和单位应当配合保护区管理机构，按照应急预案采取措施，消除或者减轻灾害。</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二十一</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市人民政府应当确定保护区内机动车控制总量，规定准许进入保护区机动车的类型、环境保护要求等条件。具体管理办法由市人民政府制定。</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二十二</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管理机构应当定期对保护区内海洋资源与生态环境状况进行调查监测，并根据监测结果对生态保护、资源恢复、生态环境整治和资源开发利用等活动的效果组织评估，适时提出调整保护区内保护与开发计划的方案。</w:t>
      </w:r>
    </w:p>
    <w:p>
      <w:pPr>
        <w:ind w:firstLine="628" w:firstLineChars="200"/>
        <w:jc w:val="left"/>
        <w:rPr>
          <w:rFonts w:hint="eastAsia" w:ascii="仿宋_GB2312" w:hAnsi="仿宋_GB2312" w:eastAsia="仿宋_GB2312" w:cs="仿宋_GB2312"/>
          <w:szCs w:val="21"/>
        </w:rPr>
      </w:pPr>
      <w:r>
        <w:rPr>
          <w:rFonts w:hint="eastAsia" w:ascii="黑体" w:hAnsi="黑体" w:eastAsia="黑体"/>
          <w:szCs w:val="21"/>
        </w:rPr>
        <w:t>第二十</w:t>
      </w:r>
      <w:r>
        <w:rPr>
          <w:rFonts w:hint="eastAsia" w:ascii="黑体" w:hAnsi="黑体" w:eastAsia="黑体"/>
          <w:szCs w:val="21"/>
          <w:lang w:eastAsia="zh-CN"/>
        </w:rPr>
        <w:t>三</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经依法批准在保护区内实施开发利用活动的单位和个人,应当采取严格的生态保护措施,控制开发利用活动对环境及资源的影响,不得造成海洋生态环境破坏,制定并落实生态恢复方案或者生态补偿措施。</w:t>
      </w:r>
    </w:p>
    <w:p>
      <w:pPr>
        <w:ind w:firstLine="628" w:firstLineChars="200"/>
        <w:jc w:val="left"/>
        <w:rPr>
          <w:rFonts w:asciiTheme="minorEastAsia" w:hAnsiTheme="minorEastAsia"/>
          <w:szCs w:val="21"/>
        </w:rPr>
      </w:pPr>
      <w:r>
        <w:rPr>
          <w:rFonts w:hint="eastAsia" w:asciiTheme="minorEastAsia" w:hAnsiTheme="minorEastAsia"/>
          <w:szCs w:val="21"/>
        </w:rPr>
        <w:t>因开发利用造成保护区资源、生态环境、自然景观、水下文物、历史遗迹、自然地质地貌破坏和环境污染的单位和个人，应当承担损害赔偿和修复补偿责任以及法律、法规规定的其他责任。</w:t>
      </w:r>
    </w:p>
    <w:p>
      <w:pPr>
        <w:ind w:firstLine="628" w:firstLineChars="200"/>
        <w:jc w:val="left"/>
        <w:rPr>
          <w:rFonts w:asciiTheme="minorEastAsia" w:hAnsiTheme="minorEastAsia"/>
          <w:szCs w:val="21"/>
        </w:rPr>
      </w:pPr>
      <w:r>
        <w:rPr>
          <w:rFonts w:hint="eastAsia" w:ascii="黑体" w:hAnsi="黑体" w:eastAsia="黑体"/>
          <w:szCs w:val="21"/>
        </w:rPr>
        <w:t>第二十</w:t>
      </w:r>
      <w:r>
        <w:rPr>
          <w:rFonts w:hint="eastAsia" w:ascii="黑体" w:hAnsi="黑体" w:eastAsia="黑体"/>
          <w:szCs w:val="21"/>
          <w:lang w:eastAsia="zh-CN"/>
        </w:rPr>
        <w:t>四</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对于造成保护区环境污染、生态破坏的行为，法律规定的机关和有关组织依法提起环境公益诉讼的，保护区管理机构和有关部门应当予以支持。</w:t>
      </w:r>
    </w:p>
    <w:p>
      <w:pPr>
        <w:jc w:val="center"/>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第三章</w:t>
      </w:r>
      <w:r>
        <w:rPr>
          <w:rFonts w:hint="eastAsia" w:ascii="黑体" w:hAnsi="黑体" w:eastAsia="黑体"/>
          <w:szCs w:val="21"/>
          <w:lang w:val="en-US" w:eastAsia="zh-CN"/>
        </w:rPr>
        <w:t xml:space="preserve">  </w:t>
      </w:r>
      <w:r>
        <w:rPr>
          <w:rFonts w:hint="eastAsia" w:ascii="黑体" w:hAnsi="黑体" w:eastAsia="黑体"/>
          <w:szCs w:val="21"/>
        </w:rPr>
        <w:t>资源利用管理</w:t>
      </w:r>
    </w:p>
    <w:p>
      <w:pPr>
        <w:jc w:val="center"/>
        <w:rPr>
          <w:rFonts w:asciiTheme="minorEastAsia" w:hAnsiTheme="minorEastAsia"/>
          <w:szCs w:val="21"/>
        </w:rPr>
      </w:pPr>
    </w:p>
    <w:p>
      <w:pPr>
        <w:ind w:firstLine="628" w:firstLineChars="200"/>
        <w:jc w:val="left"/>
      </w:pPr>
      <w:r>
        <w:rPr>
          <w:rFonts w:hint="eastAsia" w:ascii="黑体" w:hAnsi="黑体" w:eastAsia="黑体"/>
          <w:szCs w:val="21"/>
        </w:rPr>
        <w:t>第二十</w:t>
      </w:r>
      <w:r>
        <w:rPr>
          <w:rFonts w:hint="eastAsia" w:ascii="黑体" w:hAnsi="黑体" w:eastAsia="黑体"/>
          <w:szCs w:val="21"/>
          <w:lang w:eastAsia="zh-CN"/>
        </w:rPr>
        <w:t>五</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保护区的开发利用应当符合保护区资源与生态环境保护的要求。</w:t>
      </w:r>
    </w:p>
    <w:p>
      <w:pPr>
        <w:ind w:firstLine="628" w:firstLineChars="200"/>
        <w:jc w:val="left"/>
        <w:rPr>
          <w:rFonts w:hint="eastAsia" w:ascii="仿宋_GB2312" w:hAnsi="仿宋_GB2312" w:eastAsia="仿宋_GB2312" w:cs="仿宋_GB2312"/>
          <w:b w:val="0"/>
          <w:bCs w:val="0"/>
          <w:szCs w:val="21"/>
          <w:lang w:val="en-US" w:eastAsia="zh-CN"/>
        </w:rPr>
      </w:pPr>
      <w:r>
        <w:rPr>
          <w:rFonts w:hint="eastAsia" w:ascii="黑体" w:hAnsi="黑体" w:eastAsia="黑体"/>
          <w:szCs w:val="21"/>
        </w:rPr>
        <w:t>第二十</w:t>
      </w:r>
      <w:r>
        <w:rPr>
          <w:rFonts w:hint="eastAsia" w:ascii="黑体" w:hAnsi="黑体" w:eastAsia="黑体"/>
          <w:szCs w:val="21"/>
          <w:lang w:eastAsia="zh-CN"/>
        </w:rPr>
        <w:t>六</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b w:val="0"/>
          <w:bCs w:val="0"/>
          <w:szCs w:val="21"/>
          <w:lang w:val="en-US" w:eastAsia="zh-CN"/>
        </w:rPr>
        <w:t>保护区所在地县（区）旅游主管部门应当会同保护区管理机构编制保护区旅游规划，确定旅游开发强度和游客最大承载量。</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8"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在保护区内开发旅游项目应当编制符合保护区功能区划管理要求和旅游规划的建设方案，不得损害保护区资源及其生态环境。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8" w:firstLineChars="200"/>
        <w:jc w:val="both"/>
        <w:textAlignment w:val="auto"/>
        <w:rPr>
          <w:rFonts w:hint="eastAsia" w:ascii="仿宋_GB2312" w:hAnsi="仿宋_GB2312" w:eastAsia="仿宋_GB2312" w:cs="仿宋_GB2312"/>
          <w:spacing w:val="-6"/>
          <w:kern w:val="2"/>
          <w:sz w:val="32"/>
          <w:szCs w:val="21"/>
          <w:lang w:val="en-US" w:eastAsia="zh-CN" w:bidi="ar-SA"/>
        </w:rPr>
      </w:pPr>
      <w:r>
        <w:rPr>
          <w:rFonts w:hint="eastAsia" w:ascii="黑体" w:hAnsi="黑体" w:eastAsia="黑体" w:cs="Times New Roman"/>
          <w:spacing w:val="-6"/>
          <w:kern w:val="2"/>
          <w:sz w:val="32"/>
          <w:szCs w:val="21"/>
          <w:lang w:val="en-US" w:eastAsia="zh-CN" w:bidi="ar-SA"/>
        </w:rPr>
        <w:t xml:space="preserve">第二十七条  </w:t>
      </w:r>
      <w:r>
        <w:rPr>
          <w:rFonts w:hint="eastAsia" w:ascii="仿宋_GB2312" w:hAnsi="仿宋_GB2312" w:eastAsia="仿宋_GB2312" w:cs="仿宋_GB2312"/>
          <w:spacing w:val="-6"/>
          <w:kern w:val="2"/>
          <w:sz w:val="32"/>
          <w:szCs w:val="21"/>
          <w:lang w:val="en-US" w:eastAsia="zh-CN" w:bidi="ar-SA"/>
        </w:rPr>
        <w:t>对保护区内的捕捞渔船和作业人员实行总量控制。作业人员应当优先安排当地生计渔民。</w:t>
      </w:r>
    </w:p>
    <w:p>
      <w:pPr>
        <w:ind w:firstLine="628" w:firstLineChars="200"/>
        <w:jc w:val="left"/>
        <w:rPr>
          <w:rFonts w:asciiTheme="minorEastAsia" w:hAnsiTheme="minorEastAsia"/>
          <w:szCs w:val="21"/>
        </w:rPr>
      </w:pPr>
      <w:r>
        <w:rPr>
          <w:rFonts w:hint="eastAsia" w:ascii="黑体" w:hAnsi="黑体" w:eastAsia="黑体"/>
          <w:szCs w:val="21"/>
        </w:rPr>
        <w:t>第二十</w:t>
      </w:r>
      <w:r>
        <w:rPr>
          <w:rFonts w:hint="eastAsia" w:ascii="黑体" w:hAnsi="黑体" w:eastAsia="黑体"/>
          <w:szCs w:val="21"/>
          <w:lang w:eastAsia="zh-CN"/>
        </w:rPr>
        <w:t>八</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保护区所在地县（区）渔业行政主管部门应当会同保护区管理机构提出保护区内允许捕捞利用的海洋生物资源种类、可捕标准、准用渔具和捕捞方法，经依法批准后公布执行。</w:t>
      </w:r>
    </w:p>
    <w:p>
      <w:pPr>
        <w:ind w:firstLine="628" w:firstLineChars="200"/>
        <w:jc w:val="left"/>
        <w:rPr>
          <w:rFonts w:asciiTheme="minorEastAsia" w:hAnsiTheme="minorEastAsia"/>
          <w:szCs w:val="21"/>
        </w:rPr>
      </w:pPr>
      <w:r>
        <w:rPr>
          <w:rFonts w:hint="eastAsia" w:asciiTheme="minorEastAsia" w:hAnsiTheme="minorEastAsia"/>
          <w:szCs w:val="21"/>
        </w:rPr>
        <w:t>保护区所在地县（区）人民政府应当引导保护区内渔民转产转业和渔业产业结构调整，鼓励渔民改变传统渔业生产方式，发展生态型捕捞生产模式。</w:t>
      </w:r>
    </w:p>
    <w:p>
      <w:pPr>
        <w:ind w:firstLine="628" w:firstLineChars="200"/>
        <w:jc w:val="left"/>
        <w:rPr>
          <w:rFonts w:asciiTheme="minorEastAsia" w:hAnsiTheme="minorEastAsia"/>
          <w:szCs w:val="21"/>
        </w:rPr>
      </w:pPr>
      <w:r>
        <w:rPr>
          <w:rFonts w:hint="eastAsia" w:ascii="黑体" w:hAnsi="黑体" w:eastAsia="黑体"/>
          <w:szCs w:val="21"/>
        </w:rPr>
        <w:t>第二十</w:t>
      </w:r>
      <w:r>
        <w:rPr>
          <w:rFonts w:hint="eastAsia" w:ascii="黑体" w:hAnsi="黑体" w:eastAsia="黑体"/>
          <w:szCs w:val="21"/>
          <w:lang w:eastAsia="zh-CN"/>
        </w:rPr>
        <w:t>九</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在保护区内从事贝藻类捕捞活动的单位和个人，应当向保护区所在地县（区）渔业行政主管部门申请捕捞许可证。未取得捕捞许可证的，不得从事贝藻类捕捞活动。贝藻类捕捞应当优先安排当地生计渔民。</w:t>
      </w:r>
    </w:p>
    <w:p>
      <w:pPr>
        <w:ind w:firstLine="628" w:firstLineChars="200"/>
        <w:jc w:val="left"/>
        <w:rPr>
          <w:rFonts w:asciiTheme="minorEastAsia" w:hAnsiTheme="minorEastAsia"/>
          <w:szCs w:val="21"/>
        </w:rPr>
      </w:pPr>
      <w:r>
        <w:rPr>
          <w:rFonts w:hint="eastAsia" w:asciiTheme="minorEastAsia" w:hAnsiTheme="minorEastAsia"/>
          <w:szCs w:val="21"/>
        </w:rPr>
        <w:t>申请贝藻类捕捞许可证的单位和个人应当符合下列条件：</w:t>
      </w:r>
    </w:p>
    <w:p>
      <w:pPr>
        <w:ind w:firstLine="628" w:firstLineChars="200"/>
        <w:jc w:val="left"/>
        <w:rPr>
          <w:rFonts w:asciiTheme="minorEastAsia" w:hAnsiTheme="minorEastAsia"/>
          <w:szCs w:val="21"/>
        </w:rPr>
      </w:pPr>
      <w:r>
        <w:rPr>
          <w:rFonts w:hint="eastAsia" w:asciiTheme="minorEastAsia" w:hAnsiTheme="minorEastAsia"/>
          <w:szCs w:val="21"/>
        </w:rPr>
        <w:t>（一）单位具有法人资格，个人具有完全民事行为能力；</w:t>
      </w:r>
    </w:p>
    <w:p>
      <w:pPr>
        <w:ind w:firstLine="628" w:firstLineChars="200"/>
        <w:jc w:val="left"/>
        <w:rPr>
          <w:rFonts w:asciiTheme="minorEastAsia" w:hAnsiTheme="minorEastAsia"/>
          <w:szCs w:val="21"/>
        </w:rPr>
      </w:pPr>
      <w:r>
        <w:rPr>
          <w:rFonts w:hint="eastAsia" w:asciiTheme="minorEastAsia" w:hAnsiTheme="minorEastAsia"/>
          <w:szCs w:val="21"/>
        </w:rPr>
        <w:t>（二）单位应当建立安全管理制度、落实安全管理人员、配备安全设施，个人应当具有自我安全保护能力；</w:t>
      </w:r>
    </w:p>
    <w:p>
      <w:pPr>
        <w:ind w:firstLine="628" w:firstLineChars="200"/>
        <w:jc w:val="left"/>
        <w:rPr>
          <w:rFonts w:asciiTheme="minorEastAsia" w:hAnsiTheme="minorEastAsia"/>
          <w:szCs w:val="21"/>
        </w:rPr>
      </w:pPr>
      <w:r>
        <w:rPr>
          <w:rFonts w:hint="eastAsia" w:asciiTheme="minorEastAsia" w:hAnsiTheme="minorEastAsia"/>
          <w:szCs w:val="21"/>
        </w:rPr>
        <w:t>（三）法律、法规规定的其他条件。</w:t>
      </w:r>
    </w:p>
    <w:p>
      <w:pPr>
        <w:ind w:firstLine="628" w:firstLineChars="200"/>
        <w:jc w:val="left"/>
        <w:rPr>
          <w:rFonts w:asciiTheme="minorEastAsia" w:hAnsiTheme="minorEastAsia"/>
          <w:szCs w:val="21"/>
        </w:rPr>
      </w:pPr>
      <w:r>
        <w:rPr>
          <w:rFonts w:hint="eastAsia" w:asciiTheme="minorEastAsia" w:hAnsiTheme="minorEastAsia"/>
          <w:szCs w:val="21"/>
        </w:rPr>
        <w:t>从事贝藻类捕捞的单位和个人应当按照捕捞许可证载明的种类、数量、可捕标准、方法、工具、区域和期限等要求进行捕捞。</w:t>
      </w:r>
    </w:p>
    <w:p>
      <w:pPr>
        <w:ind w:firstLine="628" w:firstLineChars="200"/>
        <w:jc w:val="left"/>
        <w:rPr>
          <w:rFonts w:asciiTheme="minorEastAsia" w:hAnsiTheme="minorEastAsia"/>
          <w:szCs w:val="21"/>
        </w:rPr>
      </w:pPr>
      <w:r>
        <w:rPr>
          <w:rFonts w:hint="eastAsia" w:asciiTheme="minorEastAsia" w:hAnsiTheme="minorEastAsia"/>
          <w:szCs w:val="21"/>
        </w:rPr>
        <w:t>贝藻类捕捞的具体管理办法由市渔业行政主管部门制定。</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三十</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有关机关在审批保护区内休闲渔业经营活动时，应当征求保护区管理机构意见。</w:t>
      </w:r>
    </w:p>
    <w:p>
      <w:pPr>
        <w:ind w:firstLine="628" w:firstLineChars="200"/>
        <w:jc w:val="left"/>
        <w:rPr>
          <w:rFonts w:asciiTheme="minorEastAsia" w:hAnsiTheme="minorEastAsia"/>
          <w:szCs w:val="21"/>
        </w:rPr>
      </w:pPr>
      <w:r>
        <w:rPr>
          <w:rFonts w:hint="eastAsia" w:asciiTheme="minorEastAsia" w:hAnsiTheme="minorEastAsia"/>
          <w:szCs w:val="21"/>
        </w:rPr>
        <w:t>在保护区内从事休闲渔业活动的船舶应当具有合格有效的船舶检验证书和船舶登记证书，并按规定配备职务船员；船上载客人数、安全保障和作业条件应当符合有关规定。</w:t>
      </w:r>
    </w:p>
    <w:p>
      <w:pPr>
        <w:ind w:firstLine="628" w:firstLineChars="200"/>
        <w:jc w:val="left"/>
        <w:rPr>
          <w:rFonts w:hint="eastAsia" w:asciiTheme="minorEastAsia" w:hAnsiTheme="minorEastAsia"/>
          <w:szCs w:val="21"/>
        </w:rPr>
      </w:pPr>
      <w:r>
        <w:rPr>
          <w:rFonts w:hint="eastAsia" w:asciiTheme="minorEastAsia" w:hAnsiTheme="minorEastAsia"/>
          <w:szCs w:val="21"/>
        </w:rPr>
        <w:t>保护区内的休闲渔业活动禁止拖网作业。</w:t>
      </w:r>
    </w:p>
    <w:p>
      <w:pPr>
        <w:pStyle w:val="2"/>
        <w:rPr>
          <w:rFonts w:hint="eastAsia" w:ascii="仿宋_GB2312" w:hAnsi="仿宋_GB2312" w:eastAsia="仿宋_GB2312" w:cs="仿宋_GB2312"/>
          <w:szCs w:val="21"/>
          <w:lang w:val="en-US" w:eastAsia="zh-CN"/>
        </w:rPr>
      </w:pPr>
      <w:r>
        <w:rPr>
          <w:rFonts w:hint="eastAsia" w:asciiTheme="minorEastAsia" w:hAnsiTheme="minorEastAsia"/>
          <w:szCs w:val="21"/>
          <w:lang w:val="en-US" w:eastAsia="zh-CN"/>
        </w:rPr>
        <w:t xml:space="preserve">    </w:t>
      </w:r>
      <w:r>
        <w:rPr>
          <w:rFonts w:hint="eastAsia" w:ascii="黑体" w:hAnsi="黑体" w:eastAsia="黑体" w:cs="黑体"/>
          <w:szCs w:val="21"/>
          <w:lang w:val="en-US" w:eastAsia="zh-CN"/>
        </w:rPr>
        <w:t xml:space="preserve">第三十一条  </w:t>
      </w:r>
      <w:r>
        <w:rPr>
          <w:rFonts w:hint="eastAsia" w:ascii="仿宋_GB2312" w:hAnsi="仿宋_GB2312" w:eastAsia="仿宋_GB2312" w:cs="仿宋_GB2312"/>
          <w:szCs w:val="21"/>
          <w:lang w:val="en-US" w:eastAsia="zh-CN"/>
        </w:rPr>
        <w:t>按照保护优先的原则</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对保护区内的海钓活动采取禁钓区、禁钓期、禁钓品种和渔获物限额等管理措施</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对保护区内从事海钓活动的个人和船舶实行总量控制。</w:t>
      </w:r>
    </w:p>
    <w:p>
      <w:pPr>
        <w:pStyle w:val="2"/>
        <w:ind w:firstLine="628"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在保护区内从事海钓活动的个人应当向保护区所在地县(区)渔业主管部门申请海钓许可证。未取得海钓许可证的</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不得从事海钓活动</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休闲渔业船舶上的垂钓活动除外。</w:t>
      </w:r>
    </w:p>
    <w:p>
      <w:pPr>
        <w:pStyle w:val="2"/>
        <w:ind w:firstLine="628"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休闲渔业船舶可以在保护区内从事海钓活动。其他船舶从事海钓活动的</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应当经保护区管理机构登记取得统一标识</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无统一标识的船舶不得在保护区内从事海钓活动。</w:t>
      </w:r>
    </w:p>
    <w:p>
      <w:pPr>
        <w:pStyle w:val="2"/>
        <w:shd w:val="clear"/>
        <w:ind w:firstLine="628" w:firstLineChars="200"/>
        <w:rPr>
          <w:rFonts w:hint="default" w:eastAsia="仿宋_GB2312"/>
          <w:lang w:val="en-US" w:eastAsia="zh-CN"/>
        </w:rPr>
      </w:pPr>
      <w:r>
        <w:rPr>
          <w:rFonts w:hint="eastAsia" w:ascii="仿宋_GB2312" w:hAnsi="仿宋_GB2312" w:eastAsia="仿宋_GB2312" w:cs="仿宋_GB2312"/>
          <w:szCs w:val="21"/>
          <w:lang w:val="en-US" w:eastAsia="zh-CN"/>
        </w:rPr>
        <w:t>海钓活动管理的具体办法由市人民政府制定。</w:t>
      </w:r>
    </w:p>
    <w:p>
      <w:pPr>
        <w:shd w:val="clear"/>
        <w:spacing w:line="560" w:lineRule="exact"/>
        <w:ind w:firstLine="628" w:firstLineChars="200"/>
        <w:rPr>
          <w:rFonts w:hint="eastAsia" w:ascii="仿宋_GB2312" w:hAnsi="仿宋" w:eastAsia="仿宋_GB2312" w:cs="仿宋"/>
          <w:spacing w:val="0"/>
          <w:sz w:val="32"/>
          <w:szCs w:val="32"/>
        </w:rPr>
      </w:pPr>
      <w:r>
        <w:rPr>
          <w:rFonts w:hint="eastAsia" w:ascii="黑体" w:hAnsi="黑体" w:eastAsia="黑体"/>
          <w:szCs w:val="21"/>
        </w:rPr>
        <w:t>第</w:t>
      </w:r>
      <w:r>
        <w:rPr>
          <w:rFonts w:hint="eastAsia" w:ascii="黑体" w:hAnsi="黑体" w:eastAsia="黑体"/>
          <w:szCs w:val="21"/>
          <w:lang w:eastAsia="zh-CN"/>
        </w:rPr>
        <w:t>三十二</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 w:eastAsia="仿宋_GB2312" w:cs="仿宋"/>
          <w:spacing w:val="0"/>
          <w:sz w:val="32"/>
          <w:szCs w:val="32"/>
        </w:rPr>
        <w:t>申请海钓许可证的个人应当符合下列条件:</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(一)具有完全民事行为能力;</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(二)完成海钓活动安全管理和资源保护等相关规定的学习,并通过考试;</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(三)服从海钓的安全管理;</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(四)法律、法规规定的其他条件。</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保护区所在地县(区)渔业主管部门应当自受理海钓许可申请之日起十个工作日内作出行政许可决定。</w:t>
      </w:r>
    </w:p>
    <w:p>
      <w:pPr>
        <w:ind w:firstLine="652" w:firstLineChars="200"/>
        <w:jc w:val="left"/>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从事海钓活动应当在保护区管理机构公布的准钓海域范围内按照海钓许可证载明的鱼种、可钓标准、限额、季节等要求进行,并接受有关部门的海钓许可证查验和渔获物检查。</w:t>
      </w:r>
    </w:p>
    <w:p>
      <w:pPr>
        <w:pStyle w:val="2"/>
        <w:ind w:firstLine="628" w:firstLineChars="200"/>
        <w:rPr>
          <w:rFonts w:hint="eastAsia" w:ascii="仿宋_GB2312" w:hAnsi="仿宋_GB2312" w:eastAsia="仿宋_GB2312" w:cs="仿宋_GB2312"/>
          <w:szCs w:val="21"/>
          <w:lang w:val="en-US" w:eastAsia="zh-CN"/>
        </w:rPr>
      </w:pPr>
      <w:r>
        <w:rPr>
          <w:rFonts w:hint="eastAsia" w:ascii="黑体" w:hAnsi="黑体" w:eastAsia="黑体"/>
          <w:szCs w:val="21"/>
        </w:rPr>
        <w:t>第三十</w:t>
      </w:r>
      <w:r>
        <w:rPr>
          <w:rFonts w:hint="eastAsia" w:ascii="黑体" w:hAnsi="黑体" w:eastAsia="黑体"/>
          <w:szCs w:val="21"/>
          <w:lang w:eastAsia="zh-CN"/>
        </w:rPr>
        <w:t>三</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从事海钓活动应当依法缴纳渔业资源增殖保护费。</w:t>
      </w:r>
    </w:p>
    <w:p>
      <w:pPr>
        <w:pStyle w:val="2"/>
        <w:ind w:firstLine="628" w:firstLineChars="200"/>
        <w:rPr>
          <w:rFonts w:hint="eastAsia" w:ascii="仿宋_GB2312" w:hAnsi="仿宋_GB2312" w:eastAsia="仿宋_GB2312" w:cs="仿宋_GB2312"/>
          <w:szCs w:val="21"/>
          <w:lang w:val="en-US" w:eastAsia="zh-CN"/>
        </w:rPr>
      </w:pPr>
      <w:r>
        <w:rPr>
          <w:rFonts w:hint="eastAsia" w:ascii="黑体" w:hAnsi="黑体" w:eastAsia="黑体"/>
          <w:szCs w:val="21"/>
        </w:rPr>
        <w:t>第三十</w:t>
      </w:r>
      <w:r>
        <w:rPr>
          <w:rFonts w:hint="eastAsia" w:ascii="黑体" w:hAnsi="黑体" w:eastAsia="黑体"/>
          <w:szCs w:val="21"/>
          <w:lang w:eastAsia="zh-CN"/>
        </w:rPr>
        <w:t>四</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保护区所在地县(区)渔业主管部门应当为贝藻类捕捞许可证、海钓许可证的办理提供便捷服务。</w:t>
      </w:r>
    </w:p>
    <w:p>
      <w:pPr>
        <w:pStyle w:val="2"/>
        <w:ind w:firstLine="628"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渔业等主管部门应当采取措施加强对贝藻类捕捞和海钓活动的安全管理。鼓励从事贝藻类捕捞、海钓活动的个人投保人身意外伤害险</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鼓励从事海钓活动的船舶投保船舶综合险。</w:t>
      </w:r>
    </w:p>
    <w:p>
      <w:pPr>
        <w:ind w:firstLine="628" w:firstLineChars="200"/>
        <w:jc w:val="left"/>
        <w:rPr>
          <w:rFonts w:hint="eastAsia" w:asciiTheme="minorEastAsia" w:hAnsiTheme="minorEastAsia"/>
          <w:szCs w:val="21"/>
        </w:rPr>
      </w:pPr>
      <w:r>
        <w:rPr>
          <w:rFonts w:hint="eastAsia" w:ascii="黑体" w:hAnsi="黑体" w:eastAsia="黑体"/>
          <w:szCs w:val="21"/>
        </w:rPr>
        <w:t>第三十</w:t>
      </w:r>
      <w:r>
        <w:rPr>
          <w:rFonts w:hint="eastAsia" w:ascii="黑体" w:hAnsi="黑体" w:eastAsia="黑体"/>
          <w:szCs w:val="21"/>
          <w:lang w:eastAsia="zh-CN"/>
        </w:rPr>
        <w:t>五</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开展科学研究、调查应当征求保护区管理机构的意见，并不得使用破坏资源和生态环境的方式、方法。</w:t>
      </w:r>
    </w:p>
    <w:p>
      <w:pPr>
        <w:pStyle w:val="2"/>
        <w:rPr>
          <w:rFonts w:hint="eastAsia" w:ascii="仿宋_GB2312" w:hAnsi="仿宋_GB2312" w:eastAsia="仿宋_GB2312" w:cs="仿宋_GB2312"/>
          <w:szCs w:val="21"/>
          <w:lang w:val="en-US" w:eastAsia="zh-CN"/>
        </w:rPr>
      </w:pPr>
      <w:r>
        <w:rPr>
          <w:rFonts w:hint="eastAsia" w:asciiTheme="minorEastAsia" w:hAnsiTheme="minorEastAsia"/>
          <w:szCs w:val="21"/>
          <w:lang w:val="en-US" w:eastAsia="zh-CN"/>
        </w:rPr>
        <w:t xml:space="preserve">    </w:t>
      </w:r>
      <w:r>
        <w:rPr>
          <w:rFonts w:hint="eastAsia" w:ascii="黑体" w:hAnsi="黑体" w:eastAsia="黑体"/>
          <w:szCs w:val="21"/>
        </w:rPr>
        <w:t>第三十</w:t>
      </w:r>
      <w:r>
        <w:rPr>
          <w:rFonts w:hint="eastAsia" w:ascii="黑体" w:hAnsi="黑体" w:eastAsia="黑体"/>
          <w:szCs w:val="21"/>
          <w:lang w:eastAsia="zh-CN"/>
        </w:rPr>
        <w:t>六</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渔业等主管部门、海事管理机构和保护区管理机构应当加强保护区监测网络和预警体系建设</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强化大数据分析研判</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推动智能化、闭环化监督管理。</w:t>
      </w:r>
    </w:p>
    <w:p>
      <w:pPr>
        <w:pStyle w:val="2"/>
        <w:ind w:firstLine="628" w:firstLineChars="200"/>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渔业等主管部门、海事管理机构和保护区管理机构在巡查中发现有违法行为时</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应当立即制止</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并采取必要措施</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防止危害后果扩大;经调查取证</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属于职责范围的</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应当依法及时处理</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不属于职责范围的</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及时移交有关主管部门处理。</w:t>
      </w:r>
    </w:p>
    <w:p>
      <w:pPr>
        <w:jc w:val="left"/>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第四章</w:t>
      </w:r>
      <w:r>
        <w:rPr>
          <w:rFonts w:hint="eastAsia" w:ascii="黑体" w:hAnsi="黑体" w:eastAsia="黑体"/>
          <w:szCs w:val="21"/>
          <w:lang w:val="en-US" w:eastAsia="zh-CN"/>
        </w:rPr>
        <w:t xml:space="preserve">  </w:t>
      </w:r>
      <w:r>
        <w:rPr>
          <w:rFonts w:hint="eastAsia" w:ascii="黑体" w:hAnsi="黑体" w:eastAsia="黑体"/>
          <w:szCs w:val="21"/>
        </w:rPr>
        <w:t>法律责任</w:t>
      </w:r>
    </w:p>
    <w:p>
      <w:pPr>
        <w:jc w:val="left"/>
        <w:rPr>
          <w:rFonts w:asciiTheme="minorEastAsia" w:hAnsiTheme="minorEastAsia"/>
          <w:szCs w:val="21"/>
        </w:rPr>
      </w:pPr>
    </w:p>
    <w:p>
      <w:pPr>
        <w:ind w:firstLine="628" w:firstLineChars="200"/>
        <w:jc w:val="left"/>
        <w:rPr>
          <w:rFonts w:asciiTheme="minorEastAsia" w:hAnsiTheme="minorEastAsia"/>
          <w:szCs w:val="21"/>
        </w:rPr>
      </w:pPr>
      <w:r>
        <w:rPr>
          <w:rFonts w:hint="eastAsia" w:ascii="黑体" w:hAnsi="黑体" w:eastAsia="黑体"/>
          <w:szCs w:val="21"/>
        </w:rPr>
        <w:t>第三十</w:t>
      </w:r>
      <w:r>
        <w:rPr>
          <w:rFonts w:hint="eastAsia" w:ascii="黑体" w:hAnsi="黑体" w:eastAsia="黑体"/>
          <w:szCs w:val="21"/>
          <w:lang w:eastAsia="zh-CN"/>
        </w:rPr>
        <w:t>七</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违反本条例规定的行为，法律、行政法规和省的地方性法规已有法律责任规定的，从其规定。</w:t>
      </w:r>
    </w:p>
    <w:p>
      <w:pPr>
        <w:ind w:firstLine="628" w:firstLineChars="200"/>
        <w:jc w:val="left"/>
        <w:rPr>
          <w:rFonts w:asciiTheme="minorEastAsia" w:hAnsiTheme="minorEastAsia"/>
          <w:szCs w:val="21"/>
        </w:rPr>
      </w:pPr>
      <w:r>
        <w:rPr>
          <w:rFonts w:hint="eastAsia" w:ascii="黑体" w:hAnsi="黑体" w:eastAsia="黑体"/>
          <w:szCs w:val="21"/>
        </w:rPr>
        <w:t>第三十</w:t>
      </w:r>
      <w:r>
        <w:rPr>
          <w:rFonts w:hint="eastAsia" w:ascii="黑体" w:hAnsi="黑体" w:eastAsia="黑体"/>
          <w:szCs w:val="21"/>
          <w:lang w:eastAsia="zh-CN"/>
        </w:rPr>
        <w:t>八</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 w:eastAsia="仿宋_GB2312" w:cs="仿宋"/>
          <w:sz w:val="32"/>
          <w:szCs w:val="32"/>
        </w:rPr>
        <w:t>违反本条例第十三条第二项规定</w:t>
      </w:r>
      <w:r>
        <w:rPr>
          <w:rFonts w:hint="eastAsia" w:ascii="仿宋_GB2312" w:hAnsi="仿宋" w:cs="仿宋"/>
          <w:sz w:val="32"/>
          <w:szCs w:val="32"/>
          <w:lang w:eastAsia="zh-CN"/>
        </w:rPr>
        <w:t>，</w:t>
      </w:r>
      <w:r>
        <w:rPr>
          <w:rFonts w:hint="eastAsia" w:ascii="仿宋_GB2312" w:hAnsi="仿宋" w:eastAsia="仿宋_GB2312" w:cs="仿宋"/>
          <w:sz w:val="32"/>
          <w:szCs w:val="32"/>
        </w:rPr>
        <w:t>使用供氧器具、智能潜水器具等辅助工具进行贝藻类潜水捕捞的</w:t>
      </w:r>
      <w:r>
        <w:rPr>
          <w:rFonts w:hint="eastAsia" w:ascii="仿宋_GB2312" w:hAnsi="仿宋" w:cs="仿宋"/>
          <w:sz w:val="32"/>
          <w:szCs w:val="32"/>
          <w:lang w:eastAsia="zh-CN"/>
        </w:rPr>
        <w:t>，</w:t>
      </w:r>
      <w:r>
        <w:rPr>
          <w:rFonts w:hint="eastAsia" w:ascii="仿宋_GB2312" w:hAnsi="仿宋" w:eastAsia="仿宋_GB2312" w:cs="仿宋"/>
          <w:sz w:val="32"/>
          <w:szCs w:val="32"/>
        </w:rPr>
        <w:t>由保护区所在地县(区)渔业主管部门没收渔获物、辅助工具</w:t>
      </w:r>
      <w:r>
        <w:rPr>
          <w:rFonts w:hint="eastAsia" w:ascii="仿宋_GB2312" w:hAnsi="仿宋" w:cs="仿宋"/>
          <w:sz w:val="32"/>
          <w:szCs w:val="32"/>
          <w:lang w:eastAsia="zh-CN"/>
        </w:rPr>
        <w:t>，</w:t>
      </w:r>
      <w:r>
        <w:rPr>
          <w:rFonts w:hint="eastAsia" w:ascii="仿宋_GB2312" w:hAnsi="仿宋" w:eastAsia="仿宋_GB2312" w:cs="仿宋"/>
          <w:sz w:val="32"/>
          <w:szCs w:val="32"/>
        </w:rPr>
        <w:t>并处五千元以上五万元以下的罚款;有违法所得的</w:t>
      </w:r>
      <w:r>
        <w:rPr>
          <w:rFonts w:hint="eastAsia" w:ascii="仿宋_GB2312" w:hAnsi="仿宋" w:cs="仿宋"/>
          <w:sz w:val="32"/>
          <w:szCs w:val="32"/>
          <w:lang w:eastAsia="zh-CN"/>
        </w:rPr>
        <w:t>，</w:t>
      </w:r>
      <w:r>
        <w:rPr>
          <w:rFonts w:hint="eastAsia" w:ascii="仿宋_GB2312" w:hAnsi="仿宋" w:eastAsia="仿宋_GB2312" w:cs="仿宋"/>
          <w:sz w:val="32"/>
          <w:szCs w:val="32"/>
        </w:rPr>
        <w:t>没收违法所得。</w:t>
      </w:r>
    </w:p>
    <w:p>
      <w:pPr>
        <w:shd w:val="clear"/>
        <w:ind w:firstLine="628" w:firstLineChars="200"/>
        <w:jc w:val="left"/>
        <w:rPr>
          <w:rFonts w:asciiTheme="minorEastAsia" w:hAnsiTheme="minorEastAsia"/>
          <w:szCs w:val="21"/>
        </w:rPr>
      </w:pPr>
      <w:r>
        <w:rPr>
          <w:rFonts w:hint="eastAsia" w:ascii="黑体" w:hAnsi="黑体" w:eastAsia="黑体"/>
          <w:szCs w:val="21"/>
        </w:rPr>
        <w:t>第三十</w:t>
      </w:r>
      <w:r>
        <w:rPr>
          <w:rFonts w:hint="eastAsia" w:ascii="黑体" w:hAnsi="黑体" w:eastAsia="黑体"/>
          <w:szCs w:val="21"/>
          <w:lang w:eastAsia="zh-CN"/>
        </w:rPr>
        <w:t>九</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违反本条例第十</w:t>
      </w:r>
      <w:r>
        <w:rPr>
          <w:rFonts w:hint="eastAsia" w:asciiTheme="minorEastAsia" w:hAnsiTheme="minorEastAsia"/>
          <w:szCs w:val="21"/>
          <w:lang w:eastAsia="zh-CN"/>
        </w:rPr>
        <w:t>三</w:t>
      </w:r>
      <w:r>
        <w:rPr>
          <w:rFonts w:hint="eastAsia" w:asciiTheme="minorEastAsia" w:hAnsiTheme="minorEastAsia"/>
          <w:szCs w:val="21"/>
        </w:rPr>
        <w:t>条第五项规定，擅自移动、污损或者破坏界标、标牌和其他保护区设施的，由保护区所在地县（区）海洋行政主管部门责令限期恢复原状；逾期未恢复原状的，处恢复原状所需费用一倍以上二倍以下的罚款。</w:t>
      </w:r>
    </w:p>
    <w:p>
      <w:pPr>
        <w:shd w:val="clear"/>
        <w:spacing w:line="560" w:lineRule="exact"/>
        <w:ind w:firstLine="628" w:firstLineChars="200"/>
        <w:rPr>
          <w:rFonts w:hint="eastAsia" w:ascii="仿宋_GB2312" w:hAnsi="仿宋" w:eastAsia="仿宋_GB2312" w:cs="仿宋"/>
          <w:spacing w:val="0"/>
          <w:sz w:val="32"/>
          <w:szCs w:val="32"/>
        </w:rPr>
      </w:pPr>
      <w:r>
        <w:rPr>
          <w:rFonts w:hint="eastAsia" w:ascii="黑体" w:hAnsi="黑体" w:eastAsia="黑体"/>
          <w:szCs w:val="21"/>
        </w:rPr>
        <w:t>第</w:t>
      </w:r>
      <w:r>
        <w:rPr>
          <w:rFonts w:hint="eastAsia" w:ascii="黑体" w:hAnsi="黑体" w:eastAsia="黑体"/>
          <w:szCs w:val="21"/>
          <w:lang w:eastAsia="zh-CN"/>
        </w:rPr>
        <w:t>四十</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 w:eastAsia="仿宋_GB2312" w:cs="仿宋"/>
          <w:spacing w:val="0"/>
          <w:sz w:val="32"/>
          <w:szCs w:val="32"/>
        </w:rPr>
        <w:t>违反本条例第二十九条规定</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由保护区所在地县(区)渔业主管部门按照下列规定予以处罚:</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(一)未取得捕捞许可证捕捞贝藻类的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没收渔获物、捕捞工具和违法所得</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并处五千元以上五万元以下的罚款;</w:t>
      </w:r>
    </w:p>
    <w:p>
      <w:pPr>
        <w:ind w:firstLine="652" w:firstLineChars="200"/>
        <w:jc w:val="left"/>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(二)未按照捕捞许可证载明的种类、数量、可捕标准、方法、工具、区域和期限等要求捕捞贝藻类的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没收渔获物、捕捞工具和违法所得</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可以并处三千元以上三万元以下的罚款;情节严重的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可以吊销捕捞许可证。</w:t>
      </w:r>
    </w:p>
    <w:p>
      <w:pPr>
        <w:pStyle w:val="2"/>
        <w:ind w:firstLine="628" w:firstLineChars="200"/>
        <w:rPr>
          <w:rFonts w:hint="eastAsia" w:ascii="仿宋_GB2312" w:hAnsi="仿宋_GB2312" w:eastAsia="仿宋_GB2312" w:cs="仿宋_GB2312"/>
          <w:szCs w:val="21"/>
          <w:lang w:val="en-US" w:eastAsia="zh-CN"/>
        </w:rPr>
      </w:pPr>
      <w:r>
        <w:rPr>
          <w:rFonts w:hint="eastAsia" w:ascii="黑体" w:hAnsi="黑体" w:eastAsia="黑体"/>
          <w:szCs w:val="21"/>
        </w:rPr>
        <w:t>第</w:t>
      </w:r>
      <w:r>
        <w:rPr>
          <w:rFonts w:hint="eastAsia" w:ascii="黑体" w:hAnsi="黑体" w:eastAsia="黑体"/>
          <w:szCs w:val="21"/>
          <w:lang w:eastAsia="zh-CN"/>
        </w:rPr>
        <w:t>四十一</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_GB2312" w:eastAsia="仿宋_GB2312" w:cs="仿宋_GB2312"/>
          <w:szCs w:val="21"/>
          <w:lang w:val="en-US" w:eastAsia="zh-CN"/>
        </w:rPr>
        <w:t>违反本条例第三十一条规定</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由保护区所在地县(区)渔业主管部门按照下列规定予以处罚:</w:t>
      </w:r>
    </w:p>
    <w:p>
      <w:pPr>
        <w:pStyle w:val="2"/>
        <w:ind w:firstLine="628"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(一)未取得海钓许可证在保护区从事海钓活动的</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没收渔获物、海钓工具和违法所得</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并处二千元以上二万元以下的罚款;</w:t>
      </w:r>
    </w:p>
    <w:p>
      <w:pPr>
        <w:pStyle w:val="2"/>
        <w:shd w:val="clear"/>
        <w:ind w:firstLine="628" w:firstLineChars="200"/>
        <w:rPr>
          <w:rFonts w:hint="eastAsia" w:ascii="仿宋_GB2312" w:hAnsi="仿宋_GB2312" w:eastAsia="仿宋_GB2312" w:cs="仿宋_GB2312"/>
          <w:lang w:val="en-US" w:eastAsia="zh-CN"/>
        </w:rPr>
      </w:pPr>
      <w:r>
        <w:rPr>
          <w:rFonts w:hint="eastAsia" w:ascii="仿宋_GB2312" w:hAnsi="仿宋_GB2312" w:eastAsia="仿宋_GB2312" w:cs="仿宋_GB2312"/>
          <w:szCs w:val="21"/>
          <w:lang w:val="en-US" w:eastAsia="zh-CN"/>
        </w:rPr>
        <w:t>(二)未经登记取得统一标识的船舶在保护区从事海钓活动的,没收渔获物、海钓工具和违法所得</w:t>
      </w:r>
      <w:r>
        <w:rPr>
          <w:rFonts w:hint="eastAsia" w:ascii="仿宋_GB2312" w:hAnsi="仿宋_GB2312" w:cs="仿宋_GB2312"/>
          <w:szCs w:val="21"/>
          <w:lang w:val="en-US" w:eastAsia="zh-CN"/>
        </w:rPr>
        <w:t>，</w:t>
      </w:r>
      <w:r>
        <w:rPr>
          <w:rFonts w:hint="eastAsia" w:ascii="仿宋_GB2312" w:hAnsi="仿宋_GB2312" w:eastAsia="仿宋_GB2312" w:cs="仿宋_GB2312"/>
          <w:szCs w:val="21"/>
          <w:lang w:val="en-US" w:eastAsia="zh-CN"/>
        </w:rPr>
        <w:t>并处五千元以上五万元以下的罚款。</w:t>
      </w:r>
    </w:p>
    <w:p>
      <w:pPr>
        <w:shd w:val="clear"/>
        <w:spacing w:line="560" w:lineRule="exact"/>
        <w:ind w:firstLine="628" w:firstLineChars="200"/>
        <w:rPr>
          <w:rFonts w:hint="eastAsia" w:ascii="仿宋_GB2312" w:hAnsi="仿宋" w:eastAsia="仿宋_GB2312" w:cs="仿宋"/>
          <w:spacing w:val="0"/>
          <w:sz w:val="32"/>
          <w:szCs w:val="32"/>
        </w:rPr>
      </w:pPr>
      <w:r>
        <w:rPr>
          <w:rFonts w:hint="eastAsia" w:ascii="黑体" w:hAnsi="黑体" w:eastAsia="黑体"/>
          <w:szCs w:val="21"/>
        </w:rPr>
        <w:t>第</w:t>
      </w:r>
      <w:r>
        <w:rPr>
          <w:rFonts w:hint="eastAsia" w:ascii="黑体" w:hAnsi="黑体" w:eastAsia="黑体"/>
          <w:szCs w:val="21"/>
          <w:lang w:eastAsia="zh-CN"/>
        </w:rPr>
        <w:t>四十二</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仿宋_GB2312" w:hAnsi="仿宋" w:eastAsia="仿宋_GB2312" w:cs="仿宋"/>
          <w:spacing w:val="0"/>
          <w:sz w:val="32"/>
          <w:szCs w:val="32"/>
        </w:rPr>
        <w:t>违反本条例第三十二条规定</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由保护区所在地县(区)渔业主管部门按照下列规定予以处罚:</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(一)个人未在保护区管理机构公布的准钓海域范围内或者违反海钓许可证载明的鱼种、可钓标准、限额、季节等要求进行海钓的,没收渔获物、海钓工具和违法所得</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可以并处五百元以上五千元以下的罚款;情节严重的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可以吊销海钓许可证;</w:t>
      </w:r>
    </w:p>
    <w:p>
      <w:pPr>
        <w:shd w:val="clear"/>
        <w:spacing w:line="560" w:lineRule="exact"/>
        <w:ind w:firstLine="652" w:firstLineChars="200"/>
        <w:rPr>
          <w:rFonts w:hint="eastAsia" w:ascii="仿宋_GB2312" w:hAnsi="仿宋" w:eastAsia="仿宋_GB2312" w:cs="仿宋"/>
          <w:spacing w:val="0"/>
          <w:sz w:val="32"/>
          <w:szCs w:val="32"/>
        </w:rPr>
      </w:pPr>
      <w:r>
        <w:rPr>
          <w:rFonts w:hint="eastAsia" w:ascii="仿宋_GB2312" w:hAnsi="仿宋" w:eastAsia="仿宋_GB2312" w:cs="仿宋"/>
          <w:spacing w:val="0"/>
          <w:sz w:val="32"/>
          <w:szCs w:val="32"/>
        </w:rPr>
        <w:t>(二)拒绝接受海钓许可证查验或者渔获物检查的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没收渔获物、海钓工具和违法所得</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并处五百元以上五千元以下的罚款。</w:t>
      </w:r>
    </w:p>
    <w:p>
      <w:pPr>
        <w:ind w:firstLine="652" w:firstLineChars="200"/>
        <w:jc w:val="left"/>
        <w:rPr>
          <w:rFonts w:hint="default" w:eastAsia="黑体" w:asciiTheme="minorEastAsia" w:hAnsiTheme="minorEastAsia"/>
          <w:szCs w:val="21"/>
          <w:lang w:val="en-US" w:eastAsia="zh-CN"/>
        </w:rPr>
      </w:pPr>
      <w:r>
        <w:rPr>
          <w:rFonts w:hint="eastAsia" w:ascii="仿宋_GB2312" w:hAnsi="仿宋" w:eastAsia="仿宋_GB2312" w:cs="仿宋"/>
          <w:spacing w:val="0"/>
          <w:sz w:val="32"/>
          <w:szCs w:val="32"/>
        </w:rPr>
        <w:t>个人被吊销海钓许可证的</w:t>
      </w:r>
      <w:r>
        <w:rPr>
          <w:rFonts w:hint="eastAsia" w:ascii="仿宋_GB2312" w:hAnsi="仿宋" w:cs="仿宋"/>
          <w:spacing w:val="0"/>
          <w:sz w:val="32"/>
          <w:szCs w:val="32"/>
          <w:lang w:eastAsia="zh-CN"/>
        </w:rPr>
        <w:t>，</w:t>
      </w:r>
      <w:r>
        <w:rPr>
          <w:rFonts w:hint="eastAsia" w:ascii="仿宋_GB2312" w:hAnsi="仿宋" w:eastAsia="仿宋_GB2312" w:cs="仿宋"/>
          <w:spacing w:val="0"/>
          <w:sz w:val="32"/>
          <w:szCs w:val="32"/>
        </w:rPr>
        <w:t>自吊销之日起一年内不得重新申请海钓许可证。</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四十三</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市及保护区所在地县（区）海洋行政主管部门、渔业行政主管部门、保护区管理机构和其他有关主管部门及其工作人员有下列情形之一的，由相关机关对直接负责的主管人员和其他直接责任人员依法予以处分：</w:t>
      </w:r>
    </w:p>
    <w:p>
      <w:pPr>
        <w:ind w:firstLine="628" w:firstLineChars="200"/>
        <w:jc w:val="left"/>
        <w:rPr>
          <w:rFonts w:asciiTheme="minorEastAsia" w:hAnsiTheme="minorEastAsia"/>
          <w:szCs w:val="21"/>
        </w:rPr>
      </w:pPr>
      <w:r>
        <w:rPr>
          <w:rFonts w:hint="eastAsia" w:asciiTheme="minorEastAsia" w:hAnsiTheme="minorEastAsia"/>
          <w:szCs w:val="21"/>
        </w:rPr>
        <w:t>（一）包庇造成保护区生态环境、海洋资源破坏行为的；</w:t>
      </w:r>
    </w:p>
    <w:p>
      <w:pPr>
        <w:ind w:firstLine="628" w:firstLineChars="200"/>
        <w:jc w:val="left"/>
        <w:rPr>
          <w:rFonts w:asciiTheme="minorEastAsia" w:hAnsiTheme="minorEastAsia"/>
          <w:szCs w:val="21"/>
        </w:rPr>
      </w:pPr>
      <w:r>
        <w:rPr>
          <w:rFonts w:hint="eastAsia" w:asciiTheme="minorEastAsia" w:hAnsiTheme="minorEastAsia"/>
          <w:szCs w:val="21"/>
        </w:rPr>
        <w:t>（二）未依法实施行政处罚、行政许可的；</w:t>
      </w:r>
    </w:p>
    <w:p>
      <w:pPr>
        <w:ind w:firstLine="628" w:firstLineChars="200"/>
        <w:jc w:val="left"/>
        <w:rPr>
          <w:rFonts w:asciiTheme="minorEastAsia" w:hAnsiTheme="minorEastAsia"/>
          <w:szCs w:val="21"/>
        </w:rPr>
      </w:pPr>
      <w:r>
        <w:rPr>
          <w:rFonts w:hint="eastAsia" w:asciiTheme="minorEastAsia" w:hAnsiTheme="minorEastAsia"/>
          <w:szCs w:val="21"/>
        </w:rPr>
        <w:t>（三）未按照本条例规定履行保护区管理职能的；</w:t>
      </w:r>
    </w:p>
    <w:p>
      <w:pPr>
        <w:ind w:firstLine="628" w:firstLineChars="200"/>
        <w:jc w:val="left"/>
        <w:rPr>
          <w:rFonts w:asciiTheme="minorEastAsia" w:hAnsiTheme="minorEastAsia"/>
          <w:szCs w:val="21"/>
        </w:rPr>
      </w:pPr>
      <w:r>
        <w:rPr>
          <w:rFonts w:hint="eastAsia" w:asciiTheme="minorEastAsia" w:hAnsiTheme="minorEastAsia"/>
          <w:szCs w:val="21"/>
        </w:rPr>
        <w:t>（四）有其他滥用职权、玩忽职守、徇私舞弊、弄虚作假行为的。</w:t>
      </w:r>
    </w:p>
    <w:p>
      <w:pPr>
        <w:jc w:val="center"/>
        <w:rPr>
          <w:rFonts w:asciiTheme="minorEastAsia" w:hAnsiTheme="minorEastAsia"/>
          <w:szCs w:val="21"/>
        </w:rPr>
      </w:pPr>
    </w:p>
    <w:p>
      <w:pPr>
        <w:jc w:val="center"/>
        <w:rPr>
          <w:rFonts w:ascii="黑体" w:hAnsi="黑体" w:eastAsia="黑体"/>
          <w:szCs w:val="21"/>
        </w:rPr>
      </w:pPr>
      <w:r>
        <w:rPr>
          <w:rFonts w:hint="eastAsia" w:ascii="黑体" w:hAnsi="黑体" w:eastAsia="黑体"/>
          <w:szCs w:val="21"/>
        </w:rPr>
        <w:t>第五章</w:t>
      </w:r>
      <w:r>
        <w:rPr>
          <w:rFonts w:hint="eastAsia" w:ascii="黑体" w:hAnsi="黑体" w:eastAsia="黑体"/>
          <w:szCs w:val="21"/>
          <w:lang w:val="en-US" w:eastAsia="zh-CN"/>
        </w:rPr>
        <w:t xml:space="preserve">  </w:t>
      </w:r>
      <w:r>
        <w:rPr>
          <w:rFonts w:hint="eastAsia" w:ascii="黑体" w:hAnsi="黑体" w:eastAsia="黑体"/>
          <w:szCs w:val="21"/>
        </w:rPr>
        <w:t>附则</w:t>
      </w:r>
    </w:p>
    <w:p>
      <w:pPr>
        <w:jc w:val="center"/>
        <w:rPr>
          <w:rFonts w:asciiTheme="minorEastAsia" w:hAnsiTheme="minorEastAsia"/>
          <w:szCs w:val="21"/>
        </w:rPr>
      </w:pP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四十四</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龟足、藤壶、海葵等其他潮间带海洋生物的捕捞，参照本条例关于贝藻类捕捞的规定执行。</w:t>
      </w:r>
    </w:p>
    <w:p>
      <w:pPr>
        <w:ind w:firstLine="628" w:firstLineChars="200"/>
        <w:jc w:val="left"/>
        <w:rPr>
          <w:rFonts w:asciiTheme="minorEastAsia" w:hAnsiTheme="minorEastAsia"/>
          <w:szCs w:val="21"/>
        </w:rPr>
      </w:pPr>
      <w:r>
        <w:rPr>
          <w:rFonts w:hint="eastAsia" w:ascii="黑体" w:hAnsi="黑体" w:eastAsia="黑体"/>
          <w:szCs w:val="21"/>
        </w:rPr>
        <w:t>第</w:t>
      </w:r>
      <w:r>
        <w:rPr>
          <w:rFonts w:hint="eastAsia" w:ascii="黑体" w:hAnsi="黑体" w:eastAsia="黑体"/>
          <w:szCs w:val="21"/>
          <w:lang w:eastAsia="zh-CN"/>
        </w:rPr>
        <w:t>四十五</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本条例所称海钓，是指以休闲娱乐、体育运动为目的，利用岸堤、岛礁、矶石、船舶等进行的除渔业捕捞生产以外的海洋垂钓活动。</w:t>
      </w:r>
    </w:p>
    <w:p>
      <w:pPr>
        <w:ind w:firstLine="628" w:firstLineChars="200"/>
        <w:jc w:val="left"/>
        <w:rPr>
          <w:rFonts w:asciiTheme="minorEastAsia" w:hAnsiTheme="minorEastAsia"/>
          <w:szCs w:val="21"/>
        </w:rPr>
      </w:pPr>
      <w:r>
        <w:rPr>
          <w:rFonts w:hint="eastAsia" w:asciiTheme="minorEastAsia" w:hAnsiTheme="minorEastAsia"/>
          <w:szCs w:val="21"/>
        </w:rPr>
        <w:t>本市行政区域内保护区以外海域的海钓活动，市人民政府可以根据本市实际，参照本条例的规定执行。</w:t>
      </w:r>
    </w:p>
    <w:p>
      <w:pPr>
        <w:ind w:firstLine="628" w:firstLineChars="200"/>
        <w:jc w:val="left"/>
      </w:pPr>
      <w:r>
        <w:rPr>
          <w:rFonts w:hint="eastAsia" w:ascii="黑体" w:hAnsi="黑体" w:eastAsia="黑体"/>
          <w:szCs w:val="21"/>
        </w:rPr>
        <w:t>第四十</w:t>
      </w:r>
      <w:r>
        <w:rPr>
          <w:rFonts w:hint="eastAsia" w:ascii="黑体" w:hAnsi="黑体" w:eastAsia="黑体"/>
          <w:szCs w:val="21"/>
          <w:lang w:eastAsia="zh-CN"/>
        </w:rPr>
        <w:t>六</w:t>
      </w:r>
      <w:r>
        <w:rPr>
          <w:rFonts w:hint="eastAsia" w:ascii="黑体" w:hAnsi="黑体" w:eastAsia="黑体"/>
          <w:szCs w:val="21"/>
        </w:rPr>
        <w:t>条</w:t>
      </w:r>
      <w:r>
        <w:rPr>
          <w:rFonts w:hint="eastAsia" w:ascii="黑体" w:hAnsi="黑体" w:eastAsia="黑体"/>
          <w:szCs w:val="21"/>
          <w:lang w:val="en-US" w:eastAsia="zh-CN"/>
        </w:rPr>
        <w:t xml:space="preserve">  </w:t>
      </w:r>
      <w:r>
        <w:rPr>
          <w:rFonts w:hint="eastAsia" w:asciiTheme="minorEastAsia" w:hAnsiTheme="minorEastAsia"/>
          <w:szCs w:val="21"/>
        </w:rPr>
        <w:t>本条例自2017年3月1日起施行。</w:t>
      </w:r>
    </w:p>
    <w:sectPr>
      <w:footerReference r:id="rId5" w:type="default"/>
      <w:footerReference r:id="rId6" w:type="even"/>
      <w:pgSz w:w="11906" w:h="16838"/>
      <w:pgMar w:top="2013" w:right="1474" w:bottom="1899" w:left="1588" w:header="851" w:footer="1037" w:gutter="0"/>
      <w:pgBorders>
        <w:top w:val="none" w:sz="0" w:space="0"/>
        <w:left w:val="none" w:sz="0" w:space="0"/>
        <w:bottom w:val="none" w:sz="0" w:space="0"/>
        <w:right w:val="none" w:sz="0" w:space="0"/>
      </w:pgBorders>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12</w:t>
    </w:r>
    <w:r>
      <w:rPr>
        <w:rFonts w:hint="eastAsia" w:ascii="宋体" w:hAnsi="宋体" w:eastAsia="宋体"/>
        <w:sz w:val="28"/>
      </w:rPr>
      <w:fldChar w:fldCharType="end"/>
    </w:r>
    <w:r>
      <w:rPr>
        <w:rStyle w:val="8"/>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attachedTemplate r:id="rId1"/>
  <w:documentProtection w:enforcement="0"/>
  <w:defaultTabStop w:val="720"/>
  <w:evenAndOddHeaders w:val="true"/>
  <w:drawingGridHorizontalSpacing w:val="308"/>
  <w:drawingGridVerticalSpacing w:val="295"/>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00071F92"/>
    <w:rsid w:val="001B173E"/>
    <w:rsid w:val="00352FE7"/>
    <w:rsid w:val="0073633C"/>
    <w:rsid w:val="007E7972"/>
    <w:rsid w:val="00821AE1"/>
    <w:rsid w:val="008948C1"/>
    <w:rsid w:val="008A4D88"/>
    <w:rsid w:val="00A0649E"/>
    <w:rsid w:val="00AB2CC2"/>
    <w:rsid w:val="00C26BE1"/>
    <w:rsid w:val="00C92973"/>
    <w:rsid w:val="00CB2143"/>
    <w:rsid w:val="00D149BD"/>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17B1E1"/>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5B0C01"/>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3D34656"/>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DE316C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2E59BCD"/>
    <w:rsid w:val="73234B7B"/>
    <w:rsid w:val="7413324A"/>
    <w:rsid w:val="74516EE2"/>
    <w:rsid w:val="745D5C72"/>
    <w:rsid w:val="748E6FC3"/>
    <w:rsid w:val="74B16002"/>
    <w:rsid w:val="74E113E9"/>
    <w:rsid w:val="74E63E9A"/>
    <w:rsid w:val="75044EF3"/>
    <w:rsid w:val="751A2454"/>
    <w:rsid w:val="7530215F"/>
    <w:rsid w:val="753E6906"/>
    <w:rsid w:val="7553CB5A"/>
    <w:rsid w:val="75A13D09"/>
    <w:rsid w:val="75DA7E23"/>
    <w:rsid w:val="76B37EED"/>
    <w:rsid w:val="76DF0815"/>
    <w:rsid w:val="76F42FC7"/>
    <w:rsid w:val="77AD43CB"/>
    <w:rsid w:val="77AF566A"/>
    <w:rsid w:val="77C82E43"/>
    <w:rsid w:val="77DA09D5"/>
    <w:rsid w:val="77F5035D"/>
    <w:rsid w:val="77FF4FF7"/>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宋体" w:cs="Courier New"/>
      <w:szCs w:val="21"/>
    </w:rPr>
  </w:style>
  <w:style w:type="paragraph" w:styleId="3">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1"/>
    </w:rPr>
  </w:style>
  <w:style w:type="character" w:styleId="8">
    <w:name w:val="page number"/>
    <w:basedOn w:val="7"/>
    <w:qFormat/>
    <w:uiPriority w:val="0"/>
  </w:style>
  <w:style w:type="character" w:styleId="9">
    <w:name w:val="FollowedHyperlink"/>
    <w:basedOn w:val="7"/>
    <w:qFormat/>
    <w:uiPriority w:val="0"/>
    <w:rPr>
      <w:color w:val="800080"/>
      <w:sz w:val="18"/>
      <w:szCs w:val="18"/>
      <w:u w:val="none"/>
    </w:rPr>
  </w:style>
  <w:style w:type="character" w:styleId="10">
    <w:name w:val="line number"/>
    <w:basedOn w:val="7"/>
    <w:qFormat/>
    <w:uiPriority w:val="0"/>
  </w:style>
  <w:style w:type="character" w:styleId="11">
    <w:name w:val="Hyperlink"/>
    <w:basedOn w:val="7"/>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1"/>
    <w:basedOn w:val="1"/>
    <w:qFormat/>
    <w:uiPriority w:val="0"/>
    <w:pPr>
      <w:ind w:firstLine="420" w:firstLineChars="200"/>
    </w:pPr>
  </w:style>
  <w:style w:type="character" w:customStyle="1" w:styleId="14">
    <w:name w:val="red"/>
    <w:basedOn w:val="7"/>
    <w:qFormat/>
    <w:uiPriority w:val="0"/>
    <w:rPr>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Company>Microsoft</Company>
  <Pages>1</Pages>
  <Words>828</Words>
  <Characters>4726</Characters>
  <Lines>39</Lines>
  <Paragraphs>11</Paragraphs>
  <TotalTime>1</TotalTime>
  <ScaleCrop>false</ScaleCrop>
  <LinksUpToDate>false</LinksUpToDate>
  <CharactersWithSpaces>5543</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2017-01-13T09:18:00Z</dcterms:created>
  <dc:creator>shy</dc:creator>
  <cp:lastModifiedBy>zjrd</cp:lastModifiedBy>
  <dcterms:modified xsi:type="dcterms:W3CDTF">2022-06-28T11:50:08Z</dcterms:modified>
  <dc:title>No:0000001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公文模板版本">
    <vt:lpwstr>20160721</vt:lpwstr>
  </property>
</Properties>
</file>