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</w:pPr>
      <w:r>
        <w:rPr>
          <w:rFonts w:ascii="宋体" w:hAnsi="宋体" w:eastAsia="宋体"/>
          <w:sz w:val="44"/>
        </w:rPr>
        <w:t>安徽省规章设定罚款限额规定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（1996年9月21日安徽省第八届人民代表大会常务委员会第二十六次会议通过　根据2022年3月25日安徽省第十三届人民代表大会常务委员会第三十三次会议《关于修改和废止部分地方性法规的决定》修正）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根据《中华人民共和国立法法》《中华人民共和国行政处罚法》的有关规定，结合本省实际情况，制定本规定。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尚未制定法律、法规，因行政管理迫切需要依法先以政府规章设定罚款的，设定的罚款数额最高不得超过十万元，且不得超过法律、法规对相似违法行为的罚款数额，涉及公民生命健康安全、金融安全且有危害后果的，设定的罚款数额最高不得超过二十万元；超过上述限额的，应当报省人民代表大会常务委员会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法律、法规已经设定了罚款，规章需要在其范围内作具体规定的，不适用本规定。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Times New Roman" w:hAnsi="Times New Roman" w:eastAsia="仿宋_GB2312"/>
          <w:sz w:val="32"/>
        </w:rPr>
        <w:t>　本规定自1996年10月1日起施行。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本规定公布前制定的规章中关于罚款的规定与本规定不符合的，应当自本规定公布之日起</w:t>
      </w:r>
      <w:bookmarkStart w:id="0" w:name="_GoBack"/>
      <w:bookmarkEnd w:id="0"/>
      <w:r>
        <w:rPr>
          <w:rFonts w:ascii="Times New Roman" w:hAnsi="Times New Roman" w:eastAsia="仿宋_GB2312"/>
          <w:sz w:val="32"/>
        </w:rPr>
        <w:t>予以修订，在1997年12月31日前修订完毕。修订前，按原规定执行。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FlMjA4OTJjZjg4ZTRhODE1ZjkyNWYwNzU3YzkwNDI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6DC7373"/>
    <w:rsid w:val="210E07B7"/>
    <w:rsid w:val="344634A2"/>
    <w:rsid w:val="3DE63740"/>
    <w:rsid w:val="481351D2"/>
    <w:rsid w:val="53543565"/>
    <w:rsid w:val="558A062C"/>
    <w:rsid w:val="622F12CF"/>
    <w:rsid w:val="653E08A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autoRedefine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Administrator</cp:lastModifiedBy>
  <dcterms:modified xsi:type="dcterms:W3CDTF">2024-01-31T03:06:14Z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2052-12.1.0.16120</vt:lpwstr>
  </property>
</Properties>
</file>