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both"/>
        <w:rPr>
          <w:rFonts w:ascii="Times New Roman" w:hAnsi="Times New Roman" w:cs="Times New Roman"/>
          <w:sz w:val="44"/>
          <w:szCs w:val="44"/>
        </w:rPr>
      </w:pPr>
    </w:p>
    <w:p>
      <w:pPr>
        <w:pStyle w:val="10"/>
        <w:jc w:val="center"/>
        <w:rPr>
          <w:rFonts w:ascii="Times New Roman" w:hAnsi="Times New Roman" w:cs="Times New Roman"/>
          <w:sz w:val="44"/>
          <w:szCs w:val="44"/>
        </w:rPr>
      </w:pPr>
      <w:r>
        <w:rPr>
          <w:rFonts w:ascii="Times New Roman" w:hAnsi="Times New Roman" w:cs="Times New Roman"/>
          <w:sz w:val="44"/>
          <w:szCs w:val="44"/>
        </w:rPr>
        <w:t>中华人民共和国植物新品种保护条例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(1997年3月20日中华人民共和国国务院令第213号公布　根据2013年1月31日《国务院关于修改〈中华人民共和国植物新品种保护条例〉的决定》第一次修订　根据2014年7月29日《国务院关于修改部分行政法规的决定》第二次修订)</w:t>
      </w:r>
    </w:p>
    <w:p>
      <w:pPr>
        <w:pStyle w:val="2"/>
        <w:bidi w:val="0"/>
      </w:pPr>
      <w:r>
        <w:t>第一</w:t>
      </w:r>
      <w:bookmarkStart w:id="0" w:name="_GoBack"/>
      <w:bookmarkEnd w:id="0"/>
      <w:r>
        <w:t>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为了保护植物新品种权，鼓励培育和使用植物新品种，促进农业、林业的发展，制定本条例。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本条例所称植物新品种，是指经过人工培育的或者对发现的野生植物加以开发，具备新颖性、特异性、一致性和稳定性并有适当命名的植物品种。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国务院农业、林业行政部门(以下统称审批机关)按照职责分工共同负责植物新品种权申请的受理和审查并对符合本条例规定的植物新品种授予植物新品种权(以下称品种权)。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完成关系国家利益或者公共利益并有重大应用价值的植物新品种育种的单位或者个人，由县级以上人民政府或者有关部门给予奖励。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生产、销售和推广被授予品种权的植物新品种(以下称授权品种)，应当按照国家有关种子的法律、法规的规定审定。</w:t>
      </w:r>
    </w:p>
    <w:p>
      <w:pPr>
        <w:pStyle w:val="2"/>
        <w:bidi w:val="0"/>
      </w:pPr>
      <w:r>
        <w:t>第二章　品种权的内容和归属</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完成育种的单位或者个人对其授权品种，享有排他的独占权。任何单位或者个人未经品种权所有人(以下称品种权人)许可，不得为商业目的生产或者销售该授权品种的繁殖材料，不得为商业目的将该授权品种的繁殖材料重复使用于生产另一品种的繁殖材料；但是，本条例另有规定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执行本单位的任务或者主要是利用本单位的物质条件所完成的职务育种，植物新品种的申请权属于该单位；非职务育种，植物新品种的申请权属于完成育种的个人。申请被批准后，品种权属于申请人。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委托育种或者合作育种，品种权的归属由当事人在合同中约定；没有合同约定的，品种权属于受委托完成或者共同完成育种的单位或者个人。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一个植物新品种只能授予一项品种权。两个以上的申请人分别就同一个植物新品种申请品种权的，品种权授予最先申请的人；同时申请的，品种权授予最先完成该植物新品种育种的人。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植物新品种的申请权和品种权可以依法转让。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中国的单位或者个人就其在国内培育的植物新品种向外国人转让申请权或者品种权的，应当经审批机关批准。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国有单位在国内转让申请权或者品种权的，应当按照国家有关规定报经有关行政主管部门批准。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转让申请权或者品种权的，当事人应当订立书面合同，并向审批机关登记，由审批机关予以公告。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在下列情况下使用授权品种的，可以不经品种权人许可，不向其支付使用费，但是不得侵犯品种权人依照本条例享有的其他权利：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(一)利用授权品种进行育种及其他科研活动；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(二)农民自繁自用授权品种的繁殖材料。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为了国家利益或者公共利益，审批机关可以作出实施植物新品种强制许可的决定，并予以登记和公告。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取得实施强制许可的单位或者个人应当付给品种权人合理的使用费，其数额由双方商定；双方不能达成协议的，由审批机关裁决。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品种权人对强制许可决定或者强制许可使用费的裁决不服的，可以自收到通知之日起3个月内向人民法院提起诉讼。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不论授权品种的保护期是否届满，销售该授权品种应当使用其注册登记的名称。</w:t>
      </w:r>
    </w:p>
    <w:p>
      <w:pPr>
        <w:pStyle w:val="2"/>
        <w:bidi w:val="0"/>
      </w:pPr>
      <w:r>
        <w:t>第三章　授予品种权的条件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申请品种权的植物新品种应当属于国家植物品种保护名录中列举的植物的属或者种。植物品种保护名录由审批机关确定和公布。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授予品种权的植物新品种应当具备新颖性。新颖性，是指申请品种权的植物新品种在申请日前该品种繁殖材料未被销售，或者经育种者许可，在中国境内销售该品种繁殖材料未超过1年；在中国境外销售藤本植物、林木、果树和观赏树木品种繁殖材料未超过6年，销售其他植物品种繁殖材料未超过4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授予品种权的植物新品种应当具备特异性。特异性，是指申请品种权的植物新品种应当明显区别于在递交申请以前已知的植物品种。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授予品种权的植物新品种应当具备一致性。一致性，是指申请品种权的植物新品种经过繁殖，除可以预见的变异外，其相关的特征或者特性一致。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授予品种权的植物新品种应当具备稳定性。稳定性，是指申请品种权的植物新品种经过反复繁殖后或者在特定繁殖周期结束时，其相关的特征或者特性保持不变。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授予品种权的植物新品种应当具备适当的名称，并与相同或者相近的植物属或者种中已知品种的名称相区别。该名称经注册登记后即为该植物新品种的通用名称。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下列名称不得用于品种命名：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(一)仅以数字组成的；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(二)违反社会公德的；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(三)对植物新品种的特征、特性或者育种者的身份等容易引起误解的。</w:t>
      </w:r>
    </w:p>
    <w:p>
      <w:pPr>
        <w:pStyle w:val="2"/>
        <w:bidi w:val="0"/>
      </w:pPr>
      <w:r>
        <w:t>第四章　品种权的申请和受理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中国的单位和个人申请品种权的，可以直接或者委托代理机构向审批机关提出申请。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中国的单位和个人申请品种权的植物新品种涉及国家安全或者重大利益需要保密的，应当按照国家有关规定办理。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外国人、外国企业或者外国其他组织在中国申请品种权的，应当按其所属国和中华人民共和国签订的协议或者共同参加的国际条约办理，或者根据互惠原则，依照本条例办理。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申请品种权的，应当向审批机关提交符合规定格式要求的请求书、说明书和该品种的照片。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申请文件应当使用中文书写。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审批机关收到品种权申请文件之日为申请日；申请文件是邮寄的，以寄出的邮戳日为申请日。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申请人自在外国第一次提出品种权申请之日起12个月内，又在中国就该植物新品种提出品种权申请的，依照该外国同中华人民共和国签订的协议或者共同参加的国际条约，或者根据相互承认优先权的原则，可以享有优先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申请人要求优先权的，应当在申请时提出书面说明，并在3个月内提交经原受理机关确认的第一次提出的品种权申请文件的副本；未依照本条例规定提出书面说明或者提交申请文件副本的，视为未要求优先权。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对符合本条例第二十一条规定的品种权申请，审批机关应当予以受理，明确申请日、给予申请号，并自收到申请之日起1个月内通知申请人缴纳申请费。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对不符合或者经修改仍不符合本条例第二十一条规定的品种权申请，审批机关不予受理，并通知申请人。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申请人可以在品种权授予前修改或者撤回品种权申请。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中国的单位或者个人将国内培育的植物新品种向国外申请品种权的，应当按照职责分工向省级人民政府农业、林业行政部门登记。</w:t>
      </w:r>
    </w:p>
    <w:p>
      <w:pPr>
        <w:pStyle w:val="2"/>
        <w:bidi w:val="0"/>
      </w:pPr>
      <w:r>
        <w:t>第五章　品种权的审查与批准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申请人缴纳申请费后，审批机关对品种权申请的下列内容进行初步审查：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(一)是否属于植物品种保护名录列举的植物属或者种的范围；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(二)是否符合本条例第二十条的规定；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(三)是否符合新颖性的规定；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(四)植物新品种的命名是否适当。</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审批机关应当自受理品种权申请之日起6个月内完成初步审查。对经初步审查合格的品种权申请，审批机关予以公告，并通知申请人在3个月内缴纳审查费。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对经初步审查不合格的品种权申请，审批机关应当通知申请人在3个月内陈述意见或者予以修正；逾期未答复或者修正后仍然不合格的，驳回申请。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申请人按照规定缴纳审查费后，审批机关对品种权申请的特异性、一致性和稳定性进行实质审查。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申请人未按照规定缴纳审查费的，品种权申请视为撤回。</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审批机关主要依据申请文件和其他有关书面材料进行实质审查。审批机关认为必要时，可以委托指定的测试机构进行测试或者考察业已完成的种植或者其他试验的结果。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因审查需要，申请人应当根据审批机关的要求提供必要的资料和该植物新品种的繁殖材料。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对经实质审查符合本条例规定的品种权申请，审批机关应当作出授予品种权的决定，颁发品种权证书，并予以登记和公告。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对经实质审查不符合本条例规定的品种权申请，审批机关予以驳回，并通知申请人。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审批机关设立植物新品种复审委员会。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对审批机关驳回品种权申请的决定不服的，申请人可以自收到通知之日起3个月内，向植物新品种复审委员会请求复审。植物新品种复审委员会应当自收到复审请求书之日起6个月内作出决定，并通知申请人。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申请人对植物新品种复审委员会的决定不服的，可以自接到通知之日起15日内向人民法院提起诉讼。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品种权被授予后，在自初步审查合格公告之日起至被授予品种权之日止的期间，对未经申请人许可，为商业目的生产或者销售该授权品种的繁殖材料的单位和个人，品种权人享有追偿的权利。</w:t>
      </w:r>
    </w:p>
    <w:p>
      <w:pPr>
        <w:pStyle w:val="2"/>
        <w:bidi w:val="0"/>
      </w:pPr>
      <w:r>
        <w:t>第六章　期限、终止和无效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品种权的保护期限，自授权之日起，藤本植物、林木、果树和观赏树木为20年，其他植物为15年。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品种权人应当自被授予品种权的当年开始缴纳年费，并且按照审批机关的要求提供用于检测的该授权品种的繁殖材料。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有下列情形之一的，品种权在其保护期限届满前终止：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(一)品种权人以书面声明放弃品种权的；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(二)品种权人未按照规定缴纳年费的；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(三)品种权人未按照审批机关的要求提供检测所需的该授权品种的繁殖材料的；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(四)经检测该授权品种不再符合被授予品种权时的特征和特性的。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品种权的终止，由审批机关登记和公告。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自审批机关公告授予品种权之日起，植物新品种复审委员会可以依据职权或者依据任何单位或者个人的书面请求，对不符合本条例第十四条、第十五条、第十六条和第十七条规定的，宣告品种权无效；对不符合本条例第十八条规定的，予以更名。宣告品种权无效或者更名的决定，由审批机关登记和公告，并通知当事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对植物新品种复审委员会的决定不服的，可以自收到通知之日起3个月内向人民法院提起诉讼。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被宣告无效的品种权视为自始不存在。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宣告品种权无效的决定，对在宣告前人民法院作出并已执行的植物新品种侵权的判决、裁定，省级以上人民政府农业、林业行政部门作出并已执行的植物新品种侵权处理决定，以及已经履行的植物新品种实施许可合同和植物新品种权转让合同，不具有追溯力；但是，因品种权人的恶意给他人造成损失的，应当给予合理赔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照前款规定，品种权人或者品种权转让人不向被许可实施人或者受让人返还使用费或者转让费，明显违反公平原则的，品种权人或者品种权转让人应当向被许可实施人或者受让人返还全部或者部分使用费或者转让费。</w:t>
      </w:r>
    </w:p>
    <w:p>
      <w:pPr>
        <w:pStyle w:val="2"/>
        <w:bidi w:val="0"/>
      </w:pPr>
      <w:r>
        <w:t>第七章　罚则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未经品种权人许可，以商业目的生产或者销售授权品种的繁殖材料的，品种权人或者利害关系人可以请求省级以上人民政府农业、林业行政部门依据各自的职权进行处理，也可以直接向人民法院提起诉讼。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级以上人民政府农业、林业行政部门依据各自的职权，根据当事人自愿的原则，对侵权所造成的损害赔偿可以进行调解。调解达成协议的，当事人应当履行；调解未达成协议的，品种权人或者利害关系人可以依照民事诉讼程序向人民法院提起诉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级以上人民政府农业、林业行政部门依据各自的职权处理品种权侵权案件时，为维护社会公共利益，可以责令侵权人停止侵权行为，没收违法所得和植物品种繁殖材料；货值金额5万元以上的，可处货值金额1倍以上5倍以下的罚款；没有货值金额或者货值金额5万元以下的，根据情节轻重，可处25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假冒授权品种的，由县级以上人民政府农业、林业行政部门依据各自的职权责令停止假冒行为，没收违法所得和植物品种繁殖材料；货值金额5万元以上的，处货值金额1倍以上5倍以下的罚款；没有货值金额或者货值金额5万元以下的，根据情节轻重，处25万元以下的罚款；情节严重，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w:t>
      </w:r>
      <w:r>
        <w:rPr>
          <w:rFonts w:ascii="Times New Roman" w:hAnsi="Times New Roman" w:eastAsia="仿宋_GB2312" w:cs="Times New Roman"/>
          <w:sz w:val="32"/>
          <w:szCs w:val="32"/>
        </w:rPr>
        <w:t>　省级以上人民政府农业、林业行政部门依据各自的职权在查处品种权侵权案件和县级以上人民政府农业、林业行政部门依据各自的职权在查处假冒授权品种案件时，根据需要，可以封存或者扣押与案件有关的植物品种的繁殖材料，查阅、复制或者封存与案件有关的合同、账册及有关文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w:t>
      </w:r>
      <w:r>
        <w:rPr>
          <w:rFonts w:ascii="Times New Roman" w:hAnsi="Times New Roman" w:eastAsia="仿宋_GB2312" w:cs="Times New Roman"/>
          <w:sz w:val="32"/>
          <w:szCs w:val="32"/>
        </w:rPr>
        <w:t>　销售授权品种未使用其注册登记的名称的，由县级以上人民政府农业、林业行政部门依据各自的职权责令限期改正，可以处1000元以下的罚款。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w:t>
      </w:r>
      <w:r>
        <w:rPr>
          <w:rFonts w:ascii="Times New Roman" w:hAnsi="Times New Roman" w:eastAsia="仿宋_GB2312" w:cs="Times New Roman"/>
          <w:sz w:val="32"/>
          <w:szCs w:val="32"/>
        </w:rPr>
        <w:t>　当事人就植物新品种的申请权和品种权的权属发生争议的，可以向人民法院提起诉讼。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w:t>
      </w:r>
      <w:r>
        <w:rPr>
          <w:rFonts w:ascii="Times New Roman" w:hAnsi="Times New Roman" w:eastAsia="仿宋_GB2312" w:cs="Times New Roman"/>
          <w:sz w:val="32"/>
          <w:szCs w:val="32"/>
        </w:rPr>
        <w:t>　县级以上人民政府农业、林业行政部门的及有关部门的工作人员滥用职权、玩忽职守、徇私舞弊、索贿受贿，构成犯罪的，依法追究刑事责任；尚不构成犯罪的，依法给予行政处分。</w:t>
      </w:r>
    </w:p>
    <w:p>
      <w:pPr>
        <w:pStyle w:val="2"/>
        <w:bidi w:val="0"/>
      </w:pPr>
      <w:r>
        <w:t>第八章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w:t>
      </w:r>
      <w:r>
        <w:rPr>
          <w:rFonts w:ascii="Times New Roman" w:hAnsi="Times New Roman" w:eastAsia="仿宋_GB2312" w:cs="Times New Roman"/>
          <w:sz w:val="32"/>
          <w:szCs w:val="32"/>
        </w:rPr>
        <w:t>　审批机关可以对本条例施行前首批列入植物品种保护名录的和本条例施行后新列入植物品种保护名录的植物属或者种的新颖性要求作出变通性规定。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w:t>
      </w:r>
      <w:r>
        <w:rPr>
          <w:rFonts w:ascii="Times New Roman" w:hAnsi="Times New Roman" w:eastAsia="仿宋_GB2312" w:cs="Times New Roman"/>
          <w:sz w:val="32"/>
          <w:szCs w:val="32"/>
        </w:rPr>
        <w:t>　本条例自1997年10月1日起施行。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黑">
    <w:altName w:val="黑体"/>
    <w:panose1 w:val="00000000000000000000"/>
    <w:charset w:val="00"/>
    <w:family w:val="auto"/>
    <w:pitch w:val="default"/>
    <w:sig w:usb0="00000000" w:usb1="00000000" w:usb2="00000000" w:usb3="00000000" w:csb0="00000000" w:csb1="00000000"/>
  </w:font>
  <w:font w:name="方">
    <w:altName w:val="Dark Courier"/>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方正中倩_GBK">
    <w:panose1 w:val="03000509000000000000"/>
    <w:charset w:val="86"/>
    <w:family w:val="auto"/>
    <w:pitch w:val="default"/>
    <w:sig w:usb0="00000001" w:usb1="080E0000" w:usb2="00000000" w:usb3="00000000" w:csb0="00040000" w:csb1="00000000"/>
  </w:font>
  <w:font w:name="方正">
    <w:altName w:val="Dark Courier"/>
    <w:panose1 w:val="00000000000000000000"/>
    <w:charset w:val="00"/>
    <w:family w:val="auto"/>
    <w:pitch w:val="default"/>
    <w:sig w:usb0="00000000" w:usb1="00000000" w:usb2="00000000" w:usb3="00000000" w:csb0="00000000" w:csb1="00000000"/>
  </w:font>
  <w:font w:name="方正黑">
    <w:altName w:val="黑体"/>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B3D0578"/>
    <w:rsid w:val="0D3C4224"/>
    <w:rsid w:val="134A1994"/>
    <w:rsid w:val="155E2CB3"/>
    <w:rsid w:val="18413C16"/>
    <w:rsid w:val="28F8723D"/>
    <w:rsid w:val="2A624923"/>
    <w:rsid w:val="2DBE0D65"/>
    <w:rsid w:val="2FF20DF5"/>
    <w:rsid w:val="32252208"/>
    <w:rsid w:val="33CF5811"/>
    <w:rsid w:val="386D21AD"/>
    <w:rsid w:val="3CDF39C7"/>
    <w:rsid w:val="40DC5AC3"/>
    <w:rsid w:val="4361706F"/>
    <w:rsid w:val="4EDF3D2B"/>
    <w:rsid w:val="5080370D"/>
    <w:rsid w:val="5F5011B7"/>
    <w:rsid w:val="60492E1B"/>
    <w:rsid w:val="61152047"/>
    <w:rsid w:val="620467BA"/>
    <w:rsid w:val="622D2BEC"/>
    <w:rsid w:val="649C0E8F"/>
    <w:rsid w:val="654B1A2A"/>
    <w:rsid w:val="65BF6566"/>
    <w:rsid w:val="66562CC8"/>
    <w:rsid w:val="6B4C7D1B"/>
    <w:rsid w:val="6DA577A5"/>
    <w:rsid w:val="6DB87D30"/>
    <w:rsid w:val="6E804287"/>
    <w:rsid w:val="769B60FD"/>
    <w:rsid w:val="7814798C"/>
    <w:rsid w:val="7A6D55E9"/>
    <w:rsid w:val="7C0E15E2"/>
    <w:rsid w:val="7D0E2676"/>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方正黑体_GBK" w:asciiTheme="minorAscii" w:hAnsiTheme="minorAscii"/>
      <w:bCs/>
      <w:kern w:val="44"/>
      <w:sz w:val="32"/>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方正黑体_GBK" w:asciiTheme="minorAscii" w:hAnsiTheme="minorAscii"/>
      <w:bCs/>
      <w:kern w:val="44"/>
      <w:sz w:val="32"/>
      <w:szCs w:val="44"/>
    </w:rPr>
  </w:style>
  <w:style w:type="character" w:customStyle="1" w:styleId="20">
    <w:name w:val="标题 2 Char"/>
    <w:basedOn w:val="15"/>
    <w:link w:val="3"/>
    <w:semiHidden/>
    <w:qFormat/>
    <w:uiPriority w:val="9"/>
    <w:rPr>
      <w:rFonts w:asciiTheme="majorHAnsi" w:hAnsiTheme="majorHAnsi" w:eastAsiaTheme="majorEastAsia" w:cstheme="majorBidi"/>
      <w:b/>
      <w:bCs/>
      <w:sz w:val="32"/>
      <w:szCs w:val="32"/>
    </w:rPr>
  </w:style>
  <w:style w:type="character" w:customStyle="1" w:styleId="21">
    <w:name w:val="标题 3 Char"/>
    <w:basedOn w:val="15"/>
    <w:link w:val="4"/>
    <w:semiHidden/>
    <w:qFormat/>
    <w:uiPriority w:val="9"/>
    <w:rPr>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3</TotalTime>
  <ScaleCrop>false</ScaleCrop>
  <LinksUpToDate>false</LinksUpToDate>
  <CharactersWithSpaces>1790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2019-07-05T05:51:38Z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