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Times New Roman" w:hAnsi="Times New Roman" w:cs="Times New Roman"/>
          <w:sz w:val="44"/>
          <w:szCs w:val="44"/>
        </w:rPr>
      </w:pPr>
    </w:p>
    <w:p>
      <w:pPr>
        <w:pStyle w:val="3"/>
        <w:jc w:val="center"/>
        <w:rPr>
          <w:rFonts w:ascii="Times New Roman" w:hAnsi="Times New Roman" w:cs="Times New Roman"/>
          <w:sz w:val="44"/>
          <w:szCs w:val="44"/>
        </w:rPr>
      </w:pPr>
      <w:r>
        <w:rPr>
          <w:rFonts w:ascii="Times New Roman" w:hAnsi="Times New Roman" w:cs="Times New Roman"/>
          <w:sz w:val="44"/>
          <w:szCs w:val="44"/>
        </w:rPr>
        <w:t>南水北调工程供用水管理条例</w:t>
      </w:r>
    </w:p>
    <w:p>
      <w:pPr>
        <w:pStyle w:val="3"/>
        <w:ind w:firstLine="640" w:firstLineChars="200"/>
        <w:rPr>
          <w:rFonts w:hint="eastAsia" w:ascii="Times New Roman" w:hAnsi="Times New Roman" w:eastAsia="楷体_GB2312" w:cs="Times New Roman"/>
          <w:sz w:val="32"/>
          <w:szCs w:val="32"/>
        </w:rPr>
      </w:pPr>
    </w:p>
    <w:p>
      <w:pPr>
        <w:pStyle w:val="3"/>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(2014年1月22日国务院第37次常务会议通过　2014年2月16日中华人民共和国国务院令第647号公布　自公布之日起施行)</w:t>
      </w:r>
    </w:p>
    <w:p>
      <w:pPr>
        <w:pStyle w:val="2"/>
        <w:jc w:val="center"/>
        <w:rPr>
          <w:rFonts w:ascii="方正黑体_GBK" w:eastAsia="方正黑体_GBK"/>
        </w:rPr>
      </w:pPr>
      <w:r>
        <w:rPr>
          <w:rFonts w:hint="eastAsia" w:ascii="方正黑体_GBK" w:hAnsi="Times New Roman" w:eastAsia="方正黑体_GBK" w:cs="Times New Roman"/>
        </w:rPr>
        <w:t>第一章　总</w:t>
      </w:r>
      <w:bookmarkStart w:id="0" w:name="_GoBack"/>
      <w:bookmarkEnd w:id="0"/>
      <w:r>
        <w:rPr>
          <w:rFonts w:hint="eastAsia" w:ascii="方正黑体_GBK" w:hAnsi="Times New Roman" w:eastAsia="方正黑体_GBK" w:cs="Times New Roman"/>
        </w:rPr>
        <w:t>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为了加强南水北调工程的供用水管理，充分发挥南水北调工程的经济效益、社会效益和生态效益，制定本条例。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南水北调东线工程、中线工程的供用水管理，适用本条例。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南水北调工程的供用水管理遵循先节水后调水、先治污后通水、先环保后用水的原则，坚持全程管理、统筹兼顾、权责明晰、严格保护，确保调度合理、水质合格、用水节约、设施安全。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国务院水行政主管部门负责南水北调工程的水量调度、运行管理工作，国务院环境保护主管部门负责南水北调工程的水污染防治工作，国务院其他有关部门在各自职责范围内，负责南水北调工程供用水的有关工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南水北调工程水源地、调水沿线区域、受水区县级以上地方人民政府负责本行政区域内南水北调工程供用水的有关工作，并将南水北调工程的水质保障、用水管理纳入国民经济和社会发展规划。</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国家对南水北调工程水源地、调水沿线区域的产业结构调整、生态环境保护予以支持，确保南水北调工程供用水安全。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国务院确定的南水北调工程管理单位具体负责南水北调工程的运行和保护工作。</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南水北调工程受水区省、直辖市人民政府确定的单位具体负责本行政区域内南水北调配套工程的运行和保护工作。</w:t>
      </w:r>
    </w:p>
    <w:p>
      <w:pPr>
        <w:pStyle w:val="2"/>
        <w:jc w:val="center"/>
        <w:rPr>
          <w:rFonts w:ascii="方正黑体_GBK" w:eastAsia="方正黑体_GBK"/>
        </w:rPr>
      </w:pPr>
      <w:r>
        <w:rPr>
          <w:rFonts w:hint="eastAsia" w:ascii="方正黑体_GBK" w:hAnsi="Times New Roman" w:eastAsia="方正黑体_GBK" w:cs="Times New Roman"/>
        </w:rPr>
        <w:t>第二章　水量调度</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南水北调工程水量调度遵循节水为先、适度从紧的原则，统筹协调水源地、受水区和调水下游区域用水，加强生态环境保护。</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南水北调工程水量调度以国务院批准的多年平均调水量和受水区省、直辖市水量分配指标为基本依据。</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南水北调东线工程水量调度年度为每年10月1日至次年9月30日；南水北调中线工程水量调度年度为每年11月1日至次年10月31日。</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淮河水利委员会商长江水利委员会提出南水北调东线工程年度可调水量，于每年9月15日前报送国务院水行政主管部门，并抄送有关省人民政府和南水北调工程管理单位。</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长江水利委员会提出南水北调中线工程年度可调水量，于每年10月15日前报送国务院水行政主管部门，并抄送有关省、直辖市人民政府和南水北调工程管理单位。</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南水北调工程受水区省、直辖市人民政府水行政主管部门根据年度可调水量提出年度用水计划建议。属于南水北调东线工程受水区的于每年9月20日前、属于南水北调中线工程受水区的于每年10月20日前，报送国务院水行政主管部门，并抄送有关流域管理机构和南水北调工程管理单位。</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年度用水计划建议应当包括年度引水总量建议和月引水量建议。</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国务院水行政主管部门综合平衡年度可调水量和南水北调工程受水区省、直辖市年度用水计划建议，按照国务院批准的受水区省、直辖市水量分配指标的比例，制订南水北调工程年度水量调度计划，征求国务院有关部门意见后，在水量调度年度开始前下达有关省、直辖市人民政府和南水北调工程管理单位。</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南水北调工程管理单位根据年度水量调度计划制订月水量调度方案，涉及到航运的，应当与交通运输主管部门协商，协商不一致的，由县级以上人民政府决定；雨情、水情出现重大变化，月水量调度方案无法实施的，应当及时进行调整并报告国务院水行政主管部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南水北调工程供水实行由基本水价和计量水价构成的两部制水价，具体供水价格由国务院价格主管部门会同国务院有关部门制定。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水费应当及时、足额缴纳，专项用于南水北调工程运行维护和偿还贷款。</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南水北调工程受水区省、直辖市人民政府授权的部门或者单位应当与南水北调工程管理单位签订供水合同。供水合同应当包括年度供水量、供水水质、交水断面、交水方式、水价、水费缴纳时间和方式、违约责任等。</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水量调度年度内南水北调工程受水区省、直辖市用水需求出现重大变化，需要转让年度水量调度计划分配的水量的，由有关省、直辖市人民政府授权的部门或者单位协商签订转让协议，确定转让价格，并将转让协议报送国务院水行政主管部门，抄送南水北调工程管理单位；国务院水行政主管部门和南水北调工程管理单位应当相应调整年度水量调度计划和月水量调度方案。</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国务院水行政主管部门应当会同国务院有关部门和有关省、直辖市人民政府以及南水北调工程管理单位编制南水北调工程水量调度应急预案，报国务院批准。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南水北调工程水源地和受水区省、直辖市人民政府有关部门、有关流域管理机构以及南水北调工程管理单位应当根据南水北调工程水量调度应急预案，制定相应的应急预案。</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南水北调工程水量调度应急预案应当针对重大洪涝灾害、干旱灾害、生态破坏事故、水污染事故、工程安全事故等突发事件，规定应急管理工作的组织指挥体系与职责、预防与预警机制、处置程序、应急保障措施以及事后恢复与重建措施等内容。</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国务院或者国务院授权的部门宣布启动南水北调工程水量调度应急预案后，可以依法采取下列应急处置措施：</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(一)临时限制取水、用水、排水；</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(二)统一调度有关河道的水工程；</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(三)征用治污、供水等所需设施；</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(四)封闭通航河道。</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国务院水行政主管部门、环境保护主管部门按照职责组织对南水北调工程省界交水断面、东线工程取水口、丹江口水库的水量、水质进行监测。</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国务院水行政主管部门、环境保护主管部门按照职责定期向社会公布南水北调工程供用水水量、水质信息，并建立水量、水质信息共享机制。</w:t>
      </w:r>
    </w:p>
    <w:p>
      <w:pPr>
        <w:pStyle w:val="2"/>
        <w:jc w:val="center"/>
        <w:rPr>
          <w:rFonts w:ascii="方正黑体_GBK" w:eastAsia="方正黑体_GBK"/>
        </w:rPr>
      </w:pPr>
      <w:r>
        <w:rPr>
          <w:rFonts w:hint="eastAsia" w:ascii="方正黑体_GBK" w:hAnsi="Times New Roman" w:eastAsia="方正黑体_GBK" w:cs="Times New Roman"/>
        </w:rPr>
        <w:t>第三章　水质保障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南水北调工程水质保障实行县级以上地方人民政府目标责任制和考核评价制度。</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南水北调工程水源地、调水沿线区域县级以上地方人民政府应当加强工业、城镇、农业和农村、船舶等水污染防治，建设防护林等生态隔离保护带，确保供水安全。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依照有关法律、行政法规的规定，对南水北调工程水源地实行水环境生态保护补偿。</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南水北调东线工程调水沿线区域和中线工程水源地实行重点水污染物排放总量控制制度。</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南水北调东线工程调水沿线区域和中线工程水源地省人民政府应当将国务院确定的重点水污染物排放总量控制指标逐级分解下达到有关市、县人民政府，由市、县人民政府分解落实到水污染物排放单位。</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南水北调东线工程调水沿线区域禁止建设不符合国家产业政策、不能实现水污染物稳定达标排放的建设项目。现有的落后生产技术、工艺、设备等，由当地省人民政府组织淘汰。</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南水北调中线工程水源地禁止建设增加污染物排放总量的建设项目。</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南水北调东线工程调水沿线区域和中线工程水源地的水污染物排放单位，应当配套建设与其排放量相适应的治理设施；重点水污染物排放单位应当按照有关规定安装自动监测设备。</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南水北调东线工程干线、中线工程总干渠禁止设置排污口。</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南水北调东线工程调水沿线区域和中线工程水源地县级以上地方人民政府所在城镇排放的污水，应当经过集中处理，实现达标排放。</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南水北调东线工程调水沿线区域和中线工程水源地县级以上地方人民政府应当合理规划、建设污水集中处理设施和配套管网，并组织收集、无害化处理城乡生活垃圾，避免污染水环境。</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南水北调东线工程调水沿线区域和中线工程水源地的畜禽养殖场、养殖小区，应当按照国家有关规定对畜禽粪便、废水等进行无害化处理和资源化利用。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南水北调东线工程调水沿线区域和中线工程水源地县级人民政府应当根据水源保护的需要，划定禁止或者限制采伐、开垦区域。</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南水北调东线工程调水沿线区域、中线工程水源地、中线工程总干渠沿线区域应当规划种植生态防护林；生态地位重要的水域应当采取建设人工湿地等措施，提高水体自净能力。</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南水北调东线工程取水口、丹江口水库、中线工程总干渠需要划定饮用水水源保护区的，依照《中华人民共和国水污染防治法》的规定划定，实行严格保护。</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丹江口水库库区和洪泽湖、骆马湖、南四湖、东平湖湖区应当按照水功能区和南水北调工程水质保障的要求，由当地省人民政府组织逐步拆除现有的网箱养殖、围网养殖设施，严格控制人工养殖的规模、品种和密度。对因清理水产养殖设施导致转产转业的农民，当地县级以上地方人民政府应当给予补贴和扶持，并通过劳动技能培训、纳入社会保障体系等方式，保障其基本生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丹江口水库库区和洪泽湖、骆马湖、南四湖、东平湖湖区禁止餐饮等经营活动。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南水北调东线工程干线规划通航河道、丹江口水库及其上游通航河道应当科学规划建设港口、码头等航运设施，港口、码头应当配备与其吞吐能力相适应的船舶污染物接收、处理设备。现有的港口、码头不能达到水环境保护要求的，由当地省人民政府组织治理或者关闭。</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前款规定河道航行的船舶应当按照要求进行技术改造，实现污染物船内封闭、收集上岸，不向水体排放；达不到要求的船舶和运输危险废物、危险化学品的船舶，不得进入上述河道，有关船闸管理单位不得放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建设穿越、跨越、邻接南水北调工程输水河道的桥梁、公路、石油天然气管道、雨污水管道等工程设施的，其建设、管理单位应当设置警示标志，并采取有效措施，防范工程建设或者交通事故、管道泄漏等带来的安全风险。</w:t>
      </w:r>
    </w:p>
    <w:p>
      <w:pPr>
        <w:pStyle w:val="2"/>
        <w:jc w:val="center"/>
        <w:rPr>
          <w:rFonts w:ascii="方正黑体_GBK" w:eastAsia="方正黑体_GBK"/>
        </w:rPr>
      </w:pPr>
      <w:r>
        <w:rPr>
          <w:rFonts w:hint="eastAsia" w:ascii="方正黑体_GBK" w:hAnsi="Times New Roman" w:eastAsia="方正黑体_GBK" w:cs="Times New Roman"/>
        </w:rPr>
        <w:t>第四章　用水管理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南水北调工程受水区县级以上地方人民政府应当统筹配置南水北调工程供水和当地水资源，逐步替代超采的地下水，严格控制地下水开发利用，改善水生态环境。</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南水北调工程受水区县级以上地方人民政府应当以南水北调工程供水替代不适合作为饮用水水源的当地水源，并逐步退还因缺水挤占的农业用水和生态环境用水。</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南水北调工程受水区县级以上地方人民政府应当对本行政区域的年度用水实行总量控制，加强用水定额管理，推广节水技术、设备和设施，提高用水效率和效益。</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南水北调工程受水区县级以上地方人民政府应当鼓励、引导农民和农业生产经营组织调整农业种植结构，因地制宜减少高耗水作物种植比例，推行节水灌溉方式，促进节水农业发展。</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南水北调工程受水区省、直辖市人民政府应当制订并公布本行政区域内禁止、限制类建设项目名录，淘汰、限制高耗水、高污染的建设项目。</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南水北调工程受水区省、直辖市人民政府应当将国务院批准的地下水压采总体方案确定的地下水开采总量控制指标和地下水压采目标，逐级分解下达到有关市、县人民政府，并组织编制本行政区域的地下水限制开采方案和年度计划，报国务院水行政主管部门、国土资源主管部门备案。</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南水北调工程受水区内地下水超采区禁止新增地下水取用水量。具备水源替代条件的地下水超采区，应当划定为地下水禁采区，禁止取用地下水。</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南水北调工程受水区禁止新增开采深层承压水。</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南水北调工程受水区省、直辖市人民政府应当统筹考虑南水北调工程供水价格与当地地表水、地下水等各种水源的水资源费和供水价格，鼓励充分利用南水北调工程供水，促进水资源合理配置。</w:t>
      </w:r>
    </w:p>
    <w:p>
      <w:pPr>
        <w:pStyle w:val="2"/>
        <w:jc w:val="center"/>
        <w:rPr>
          <w:rFonts w:ascii="方正黑体_GBK" w:eastAsia="方正黑体_GBK"/>
        </w:rPr>
      </w:pPr>
      <w:r>
        <w:rPr>
          <w:rFonts w:hint="eastAsia" w:ascii="方正黑体_GBK" w:hAnsi="Times New Roman" w:eastAsia="方正黑体_GBK" w:cs="Times New Roman"/>
        </w:rPr>
        <w:t>第五章　工程设施管理和保护</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南水北调工程水源地、调水沿线区域、受水区县级以上地方人民政府应当做好工程设施安全保护有关工作，防范和制止危害南水北调工程设施安全的行为。</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南水北调工程管理单位应当建立、健全安全生产责任制，加强对南水北调工程设施的监测、检查、巡查、维修和养护，配备必要的人员和设备，定期进行应急演练，确保工程安全运行，并及时组织清理管理范围内水域、滩地的垃圾。</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南水北调工程应当依法划定管理范围和保护范围。</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南水北调东线工程的管理范围和保护范围，由工程所在地的省人民政府组织划定；其中，省际工程的管理范围和保护范围，由国务院水行政主管部门或者其授权的流域管理机构商有关省人民政府组织划定。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丹江口水库、南水北调中线工程总干渠的管理范围和保护范围，由国务院水行政主管部门或者其授权的流域管理机构商有关省、直辖市人民政府组织划定。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南水北调工程管理范围按照国务院批准的设计文件划定。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南水北调工程管理单位应当在工程管理范围边界和地下工程位置上方地面设立界桩、界碑等保护标志，并设立必要的安全隔离设施对工程进行保护。未经南水北调工程管理单位同意，任何人不得进入设置安全隔离设施的区域。</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南水北调工程管理范围内的土地不得转作其他用途，任何单位和个人不得侵占；管理范围内禁止擅自从事与工程管理无关的活动。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南水北调工程保护范围按照下列原则划定并予以公告：</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(一)东线明渠输水工程为从堤防背水侧的护堤地边线向外延伸至50米以内的区域，中线明渠输水工程为从管理范围边线向外延伸至200米以内的区域；</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(二)暗涵、隧洞、管道等地下输水工程为工程设施上方地面以及从其边线向外延伸至50米以内的区域；</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(三)倒虹吸、渡槽、暗渠等交叉工程为从管理范围边线向交叉河道上游延伸至不少于500米不超过1000米、向交叉河道下游延伸至不少于1000米不超过3000米以内的区域；</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(四)泵站、水闸、管理站、取水口等其他工程设施为从管理范围边线向外延伸至不少于50米不超过200米以内的区域。</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南水北调工程管理单位应当在工程沿线路口、村庄等地段设置安全警示标志；有关地方人民政府主管部门应当按照有关规定，在交叉桥梁入口处设置限制质量、轴重、速度、高度、宽度等标志，并采取相应的工程防范措施。</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禁止危害南水北调工程设施的下列行为：</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(一)侵占、损毁输水河道(渠道、管道)、水库、堤防、护岸；</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(二)在地下输水管道、堤坝上方地面种植深根植物或者修建鱼池等储水设施、堆放超重物品；</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(三)移动、覆盖、涂改、损毁标志物；</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(四)侵占、损毁或者擅自使用、操作专用输电线路设施、专用通信线路、闸门等设施；</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(五)侵占、损毁交通、通信、水文水质监测等其他设施。</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禁止擅自从南水北调工程取用水资源。</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禁止在南水北调工程保护范围内实施影响工程运行、危害工程安全和供水安全的爆破、打井、采矿、取土、采石、采砂、钻探、建房、建坟、挖塘、挖沟等行为。</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在南水北调工程管理范围和保护范围内建设桥梁、码头、公路、铁路、地铁、船闸、管道、缆线、取水、排水等工程设施，按照国家规定的基本建设程序报请审批、核准时，审批、核准单位应当征求南水北调工程管理单位对拟建工程设施建设方案的意见。</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前款规定的建设项目在施工、维护、检修前，应当通报南水北调工程管理单位，施工、维护、检修过程中不得影响南水北调工程设施安全和正常运行。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在汛期，南水北调工程管理单位应当加强巡查，发现险情立即采取抢修等措施，并及时向有关防汛抗旱指挥机构报告。</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　</w:t>
      </w:r>
      <w:r>
        <w:rPr>
          <w:rFonts w:ascii="Times New Roman" w:hAnsi="Times New Roman" w:eastAsia="仿宋_GB2312" w:cs="Times New Roman"/>
          <w:sz w:val="32"/>
          <w:szCs w:val="32"/>
        </w:rPr>
        <w:t>南水北调工程管理单位应当加强南水北调工程设施的安全保护，制定安全保护方案，建立健全安全保护责任制，加强安全保护设施的建设、维护，落实治安防范措施，及时排除隐患。</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南水北调工程重要水域、重要设施需要派出中国人民武装警察部队守卫或者抢险救援的，依照《中华人民共和国人民武装警察法》和国务院、中央军事委员会的有关规定执行。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　</w:t>
      </w:r>
      <w:r>
        <w:rPr>
          <w:rFonts w:ascii="Times New Roman" w:hAnsi="Times New Roman" w:eastAsia="仿宋_GB2312" w:cs="Times New Roman"/>
          <w:sz w:val="32"/>
          <w:szCs w:val="32"/>
        </w:rPr>
        <w:t>在紧急情况下，南水北调工程管理单位因工程抢修需要取土占地或者使用有关设施的，有关单位和个人应当予以配合。南水北调工程管理单位应当于事后恢复原状；造成损失的，应当依法予以补偿。</w:t>
      </w:r>
    </w:p>
    <w:p>
      <w:pPr>
        <w:pStyle w:val="2"/>
        <w:jc w:val="center"/>
        <w:rPr>
          <w:rFonts w:ascii="方正黑体_GBK" w:eastAsia="方正黑体_GBK"/>
        </w:rPr>
      </w:pPr>
      <w:r>
        <w:rPr>
          <w:rFonts w:hint="eastAsia" w:ascii="方正黑体_GBK" w:hAnsi="Times New Roman" w:eastAsia="方正黑体_GBK" w:cs="Times New Roman"/>
        </w:rPr>
        <w:t>第六章　法律责任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　</w:t>
      </w:r>
      <w:r>
        <w:rPr>
          <w:rFonts w:ascii="Times New Roman" w:hAnsi="Times New Roman" w:eastAsia="仿宋_GB2312" w:cs="Times New Roman"/>
          <w:sz w:val="32"/>
          <w:szCs w:val="32"/>
        </w:rPr>
        <w:t>行政机关及其工作人员违反本条例规定，有下列行为之一的，由主管机关或者监察机关责令改正；情节严重的，对直接负责的主管人员和其他直接责任人员依法给予处分；直接负责的主管人员和其他直接责任人员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(一)不及时制订下达或者不执行年度水量调度计划的；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(二)不编制或者不执行水量调度应急预案的；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(三)不编制或者不执行南水北调工程受水区地下水限制开采方案的；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(四)不履行水量、水质监测职责的；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(五)不履行本条例规定的其他职责的。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第四十九条　</w:t>
      </w:r>
      <w:r>
        <w:rPr>
          <w:rFonts w:ascii="Times New Roman" w:hAnsi="Times New Roman" w:eastAsia="仿宋_GB2312" w:cs="Times New Roman"/>
          <w:sz w:val="32"/>
          <w:szCs w:val="32"/>
        </w:rPr>
        <w:t>南水北调工程管理单位及其工作人员违反本条例规定，有下列行为之一的，由主管机关或者监察机关责令改正；情节严重的，对直接负责的主管人员和其他直接责任人员依法给予处分；直接负责的主管人员和其他直接责任人员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(一)虚假填报或者篡改工程运行情况等资料的；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(二)不执行年度水量调度计划或者水量调度应急预案的；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(三)不及时制订或者不执行月水量调度方案的；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(四)对工程设施疏于监测、检查、巡查、维修、养护，不落实安全生产责任制，影响工程安全、供水安全的；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(五)不履行本条例规定的其他职责的。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第五十条　</w:t>
      </w:r>
      <w:r>
        <w:rPr>
          <w:rFonts w:ascii="Times New Roman" w:hAnsi="Times New Roman" w:eastAsia="仿宋_GB2312" w:cs="Times New Roman"/>
          <w:sz w:val="32"/>
          <w:szCs w:val="32"/>
        </w:rPr>
        <w:t>违反本条例规定，实施排放水污染物等危害南水北调工程水质安全行为的，依照《中华人民共和国水污染防治法》的规定处理；构成犯罪的，依法追究刑事责任。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违反本条例规定，在南水北调工程受水区地下水禁采区取用地下水、在受水区地下水超采区新增地下水取用水量、在受水区新增开采深层承压水，或者擅自从南水北调工程取用水资源的，依照《中华人民共和国水法》的规定处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第五十一条　</w:t>
      </w:r>
      <w:r>
        <w:rPr>
          <w:rFonts w:ascii="Times New Roman" w:hAnsi="Times New Roman" w:eastAsia="仿宋_GB2312" w:cs="Times New Roman"/>
          <w:sz w:val="32"/>
          <w:szCs w:val="32"/>
        </w:rPr>
        <w:t>违反本条例规定，运输危险废物、危险化学品的船舶进入南水北调东线工程干线规划通航河道、丹江口水库及其上游通航河道的，由县级以上地方人民政府负责海事、渔业工作的行政主管部门按照职责权限予以扣押，对危险废物、危险化学品采取卸载等措施，所需费用由违法行为人承担；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第五十二条　</w:t>
      </w:r>
      <w:r>
        <w:rPr>
          <w:rFonts w:ascii="Times New Roman" w:hAnsi="Times New Roman" w:eastAsia="仿宋_GB2312" w:cs="Times New Roman"/>
          <w:sz w:val="32"/>
          <w:szCs w:val="32"/>
        </w:rPr>
        <w:t>违反本条例规定，建设穿越、跨越、邻接南水北调工程输水河道的桥梁、公路、石油天然气管道、雨污水管道等工程设施，未采取有效措施，危害南水北调工程安全和供水安全的，由建设项目审批、核准单位责令采取补救措施；在补救措施落实前，暂停工程设施建设。</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第五十三条　</w:t>
      </w:r>
      <w:r>
        <w:rPr>
          <w:rFonts w:ascii="Times New Roman" w:hAnsi="Times New Roman" w:eastAsia="仿宋_GB2312" w:cs="Times New Roman"/>
          <w:sz w:val="32"/>
          <w:szCs w:val="32"/>
        </w:rPr>
        <w:t>违反本条例规定，侵占、损毁、危害南水北调工程设施，或者在南水北调工程保护范围内实施影响工程运行、危害工程安全和供水安全的行为的，依照《中华人民共和国水法》的规定处理；《中华人民共和国水法》未作规定的，由县级以上人民政府水行政主管部门或者流域管理机构按照职责权限，责令停止违法行为，限期采取补救措施；造成损失的，依法承担民事责任；构成违反治安管理行为的，依法给予治安管理处罚；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第五十四条　</w:t>
      </w:r>
      <w:r>
        <w:rPr>
          <w:rFonts w:ascii="Times New Roman" w:hAnsi="Times New Roman" w:eastAsia="仿宋_GB2312" w:cs="Times New Roman"/>
          <w:sz w:val="32"/>
          <w:szCs w:val="32"/>
        </w:rPr>
        <w:t>南水北调工程水源地、调水沿线区域有下列情形之一的，暂停审批有关行政区域除污染减排和生态恢复项目外所有建设项目的环境影响评价文件：</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(一)在东线工程干线、中线工程总干渠设置排污口的；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(二)排污超过重点水污染物排放总量控制指标的；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(三)违法批准建设污染水环境的建设项目造成重大水污染事故等严重后果，未落实补救措施的。</w:t>
      </w:r>
    </w:p>
    <w:p>
      <w:pPr>
        <w:pStyle w:val="2"/>
        <w:jc w:val="center"/>
        <w:rPr>
          <w:rFonts w:ascii="方正黑体_GBK" w:eastAsia="方正黑体_GBK"/>
        </w:rPr>
      </w:pPr>
      <w:r>
        <w:rPr>
          <w:rFonts w:hint="eastAsia" w:ascii="方正黑体_GBK" w:hAnsi="Times New Roman" w:eastAsia="方正黑体_GBK" w:cs="Times New Roman"/>
        </w:rPr>
        <w:t>第七章　附则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第五十五条　</w:t>
      </w:r>
      <w:r>
        <w:rPr>
          <w:rFonts w:ascii="Times New Roman" w:hAnsi="Times New Roman" w:eastAsia="仿宋_GB2312" w:cs="Times New Roman"/>
          <w:sz w:val="32"/>
          <w:szCs w:val="32"/>
        </w:rPr>
        <w:t>南水北调东线工程，指从江苏省扬州市附近的长江干流引水，调水到江苏省北部和山东省等地的主体工程。</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南水北调中线工程，指从丹江口水库引水，调水到河南省、河北省、北京市、天津市的主体工程。</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南水北调配套工程，指东线工程、中线工程分水口门以下，配置、调度分配给本行政区域使用的南水北调供水的工程。</w:t>
      </w:r>
    </w:p>
    <w:p>
      <w:pPr>
        <w:ind w:firstLine="640" w:firstLineChars="200"/>
      </w:pPr>
      <w:r>
        <w:rPr>
          <w:rFonts w:ascii="Times New Roman" w:hAnsi="Times New Roman" w:eastAsia="黑体" w:cs="Times New Roman"/>
          <w:sz w:val="32"/>
          <w:szCs w:val="32"/>
        </w:rPr>
        <w:t>第五十六条　</w:t>
      </w:r>
      <w:r>
        <w:rPr>
          <w:rFonts w:ascii="Times New Roman" w:hAnsi="Times New Roman" w:eastAsia="仿宋_GB2312" w:cs="Times New Roman"/>
          <w:sz w:val="32"/>
          <w:szCs w:val="32"/>
        </w:rPr>
        <w:t>本条例自公布之日起施行。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7BB0A57"/>
    <w:rsid w:val="00865C59"/>
    <w:rsid w:val="009253AA"/>
    <w:rsid w:val="00D43731"/>
    <w:rsid w:val="07235B55"/>
    <w:rsid w:val="07BB0A57"/>
    <w:rsid w:val="394219FB"/>
    <w:rsid w:val="5B212035"/>
    <w:rsid w:val="612F7BF2"/>
    <w:rsid w:val="6C224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Ascii" w:hAnsiTheme="majorAscii" w:eastAsiaTheme="majorEastAsia" w:cstheme="majorBidi"/>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1158</Words>
  <Characters>6607</Characters>
  <Lines>55</Lines>
  <Paragraphs>15</Paragraphs>
  <TotalTime>0</TotalTime>
  <ScaleCrop>false</ScaleCrop>
  <LinksUpToDate>false</LinksUpToDate>
  <CharactersWithSpaces>7750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2019-05-22T15:25:00Z</dcterms:created>
  <dc:creator>Administrator</dc:creator>
  <cp:lastModifiedBy>Administrator</cp:lastModifiedBy>
  <dcterms:modified xsi:type="dcterms:W3CDTF">2019-07-05T07:30:22Z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