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eastAsia="仿宋_GB2312"/>
          <w:sz w:val="32"/>
          <w:szCs w:val="32"/>
        </w:rPr>
      </w:pPr>
    </w:p>
    <w:p>
      <w:pPr>
        <w:pStyle w:val="4"/>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漳州市市容和环境卫生“门前三包”</w:t>
      </w:r>
    </w:p>
    <w:p>
      <w:pPr>
        <w:pStyle w:val="4"/>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color w:val="000000"/>
          <w:sz w:val="44"/>
          <w:szCs w:val="44"/>
        </w:rPr>
      </w:pPr>
      <w:r>
        <w:rPr>
          <w:rFonts w:hint="eastAsia" w:ascii="宋体" w:hAnsi="宋体" w:eastAsia="宋体" w:cs="宋体"/>
          <w:b/>
          <w:bCs/>
          <w:color w:val="000000"/>
          <w:sz w:val="44"/>
          <w:szCs w:val="44"/>
        </w:rPr>
        <w:t>责任区管理若干规定</w:t>
      </w:r>
    </w:p>
    <w:p>
      <w:pPr>
        <w:pStyle w:val="4"/>
        <w:keepNext w:val="0"/>
        <w:keepLines w:val="0"/>
        <w:pageBreakBefore w:val="0"/>
        <w:widowControl w:val="0"/>
        <w:kinsoku/>
        <w:wordWrap/>
        <w:overflowPunct/>
        <w:topLinePunct w:val="0"/>
        <w:autoSpaceDE/>
        <w:autoSpaceDN/>
        <w:bidi w:val="0"/>
        <w:adjustRightInd/>
        <w:snapToGrid/>
        <w:spacing w:before="157" w:beforeLines="50" w:line="540" w:lineRule="exact"/>
        <w:ind w:left="320" w:leftChars="100" w:right="320" w:rightChars="100" w:firstLine="640" w:firstLineChars="200"/>
        <w:jc w:val="both"/>
        <w:textAlignment w:val="auto"/>
        <w:rPr>
          <w:rFonts w:hint="eastAsia" w:ascii="楷体_GB2312" w:hAnsi="Times New Roman" w:eastAsia="楷体_GB2312" w:cs="Times New Roman"/>
          <w:color w:val="000000"/>
          <w:sz w:val="32"/>
          <w:szCs w:val="32"/>
        </w:rPr>
      </w:pPr>
      <w:r>
        <w:rPr>
          <w:rFonts w:hint="eastAsia" w:ascii="楷体_GB2312" w:hAnsi="Times New Roman" w:eastAsia="楷体_GB2312" w:cs="Times New Roman"/>
          <w:color w:val="000000"/>
          <w:sz w:val="32"/>
          <w:szCs w:val="32"/>
        </w:rPr>
        <w:t>（2017年4月26日漳州市第十六届人民代表大会常务委员会第二次会议通过2017年5月25日福建省第十二届人民代表大会常务委员会第二十九次会议批准</w:t>
      </w:r>
      <w:r>
        <w:rPr>
          <w:rFonts w:hint="eastAsia" w:ascii="楷体_GB2312" w:hAnsi="Times New Roman" w:eastAsia="楷体_GB2312" w:cs="Times New Roman"/>
          <w:color w:val="000000"/>
          <w:sz w:val="32"/>
          <w:szCs w:val="32"/>
          <w:lang w:val="en-US" w:eastAsia="zh-CN"/>
        </w:rPr>
        <w:t xml:space="preserve">  </w:t>
      </w:r>
      <w:r>
        <w:rPr>
          <w:rFonts w:hint="eastAsia" w:ascii="楷体_GB2312" w:hAnsi="Times New Roman" w:eastAsia="楷体_GB2312" w:cs="Times New Roman"/>
          <w:color w:val="000000"/>
          <w:sz w:val="32"/>
          <w:szCs w:val="32"/>
        </w:rPr>
        <w:t>根据2021年10月28日漳州市第十六届人民代表大会常务委员会第四十七次会议《漳州市人民代表大会常务委员会关于修改</w:t>
      </w:r>
      <w:r>
        <w:rPr>
          <w:rFonts w:hint="eastAsia" w:ascii="楷体_GB2312" w:hAnsi="Times New Roman" w:eastAsia="楷体_GB2312" w:cs="Times New Roman"/>
          <w:color w:val="000000"/>
          <w:sz w:val="32"/>
          <w:szCs w:val="32"/>
          <w:lang w:val="en" w:eastAsia="zh-CN"/>
        </w:rPr>
        <w:t>〈</w:t>
      </w:r>
      <w:r>
        <w:rPr>
          <w:rFonts w:hint="eastAsia" w:ascii="楷体_GB2312" w:hAnsi="Times New Roman" w:eastAsia="楷体_GB2312" w:cs="Times New Roman"/>
          <w:color w:val="000000"/>
          <w:sz w:val="32"/>
          <w:szCs w:val="32"/>
          <w:lang w:val="en"/>
        </w:rPr>
        <w:t>漳州市市容和环境卫生“门前三包”责任区管理若干规定</w:t>
      </w:r>
      <w:r>
        <w:rPr>
          <w:rFonts w:hint="eastAsia" w:ascii="楷体_GB2312" w:hAnsi="Times New Roman" w:eastAsia="楷体_GB2312" w:cs="Times New Roman"/>
          <w:color w:val="000000"/>
          <w:sz w:val="32"/>
          <w:szCs w:val="32"/>
          <w:lang w:val="en" w:eastAsia="zh-CN"/>
        </w:rPr>
        <w:t>〉</w:t>
      </w:r>
      <w:r>
        <w:rPr>
          <w:rFonts w:hint="eastAsia" w:ascii="楷体_GB2312" w:hAnsi="Times New Roman" w:eastAsia="楷体_GB2312" w:cs="Times New Roman"/>
          <w:color w:val="000000"/>
          <w:sz w:val="32"/>
          <w:szCs w:val="32"/>
          <w:lang w:val="en"/>
        </w:rPr>
        <w:t>等四部地方性法规的决定</w:t>
      </w:r>
      <w:r>
        <w:rPr>
          <w:rFonts w:hint="eastAsia" w:ascii="楷体_GB2312" w:hAnsi="Times New Roman" w:eastAsia="楷体_GB2312" w:cs="Times New Roman"/>
          <w:color w:val="000000"/>
          <w:sz w:val="32"/>
          <w:szCs w:val="32"/>
        </w:rPr>
        <w:t>》修正</w:t>
      </w:r>
      <w:r>
        <w:rPr>
          <w:rFonts w:hint="eastAsia" w:ascii="楷体_GB2312" w:hAnsi="楷体_GB2312" w:eastAsia="楷体_GB2312" w:cs="楷体_GB2312"/>
          <w:spacing w:val="0"/>
          <w:sz w:val="32"/>
          <w:szCs w:val="32"/>
          <w:u w:val="none"/>
          <w:lang w:val="en-US"/>
        </w:rPr>
        <w:t>，2021年12月15日福建省第十三届人民代表大会常务委员会第三十次会议批准</w:t>
      </w:r>
      <w:r>
        <w:rPr>
          <w:rFonts w:hint="eastAsia" w:ascii="楷体_GB2312" w:hAnsi="Times New Roman" w:eastAsia="楷体_GB2312" w:cs="Times New Roman"/>
          <w:color w:val="000000"/>
          <w:sz w:val="32"/>
          <w:szCs w:val="32"/>
        </w:rPr>
        <w:t>）</w:t>
      </w:r>
    </w:p>
    <w:p>
      <w:pPr>
        <w:pStyle w:val="4"/>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楷体_GB2312" w:cs="Times New Roman"/>
          <w:color w:val="000000"/>
          <w:sz w:val="28"/>
          <w:szCs w:val="28"/>
        </w:rPr>
      </w:pP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第一条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为了加强城市市容和环境卫生管理,创造整洁、有序、文明的城市环境,根据国务院《城市市容和环境卫生管理条例》、《福建省城市市容和环境卫生管理办法》和相关法律、法规规定,结合本市实际,制定本规定。</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第二条</w:t>
      </w:r>
      <w:r>
        <w:rPr>
          <w:rFonts w:ascii="Times New Roman"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本规定适用于本市行政区域内的城市建成区以及县（市）人民政府确定实行城市化管理的区域。</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城市建成区以及实行城市化管理的区域的具体范围由市、县（市）人民政府确定，并向社会公布。</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第三条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本规定所称市容和环境卫生“门前三包”，是指责任人对责任区范围内的市容市貌、环境卫生、绿化亮化履行相应的责任要求。</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第四条</w:t>
      </w:r>
      <w:r>
        <w:rPr>
          <w:rFonts w:ascii="Times New Roman"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本市各级人民政府应当加强对本辖区内市容和环境卫生“门前三包”责任区管理工作的领导，建立工作协调机制，保障所需经费投入，完善相关设施建设，提高市容和环境卫生公共服务水平。</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第五条</w:t>
      </w:r>
      <w:r>
        <w:rPr>
          <w:rFonts w:ascii="Times New Roman"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市城市管理行政执法部门是本市市容和环境卫生“门前三包”责任区管理工作的主管部门，负责全市责任区管理的组织指导和监督检查工作。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市住房和城乡建设、规划、环境保护、工商、食品药品监管、公安、财政、卫生和计划生育、教育、文化广电新闻出版等部门应当按照各自职责，做好市容和环境卫生“门前三包”责任区管理的实施工作。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县(市、区)人民政府确定的城市管理主管部门负责本辖区内市容和环境卫生“门前三包”责任区管理的组织实施和监督检查工作。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街道办事处、镇人民政府负责本辖区内市容和环境卫生“门前三包”责任区管理的具体实施和日常监督工作。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村（居）民委员会协助做好市容和环境卫生“门前三包”责任区管理的宣传动员和日常巡查工作。</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第六条</w:t>
      </w:r>
      <w:r>
        <w:rPr>
          <w:rFonts w:ascii="Times New Roman"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本市市容和环境卫生“门前三包”责任区范围，横向为建（构）筑物沿街总长；纵向为建（构）筑物沿街墙基至人行道路沿石；立面为建（构）筑物沿街外立面。</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责任区范围存在争议的，由街道办事处、镇人民政府组织相关责任人协商确定；协商不成的，由县(市、区)人民政府确定的城市管理主管部门会同街道办事处、镇人民政府共同确定并书面告知相关责任人。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第七条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本市市容和环境卫生“门前三包”责任人按照下列规定确定：</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（一）实行物业管理的居住区、写字楼，物业服务企业为责任人；未实行物业管理的居住区、写字楼，已成立业主委员会的，业主委员会为责任人，未成立业主委员会的，由所在地的村（居）民委员会负责；</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 w:val="32"/>
          <w:szCs w:val="32"/>
        </w:rPr>
      </w:pPr>
      <w:r>
        <w:rPr>
          <w:rFonts w:hint="eastAsia" w:ascii="仿宋_GB2312" w:hAnsi="Times New Roman" w:eastAsia="仿宋_GB2312" w:cs="Times New Roman"/>
          <w:color w:val="000000"/>
          <w:sz w:val="32"/>
          <w:szCs w:val="32"/>
        </w:rPr>
        <w:t>（二）</w:t>
      </w:r>
      <w:r>
        <w:rPr>
          <w:rFonts w:hint="eastAsia" w:ascii="仿宋_GB2312" w:hAnsi="Times New Roman" w:eastAsia="仿宋_GB2312" w:cs="Times New Roman"/>
          <w:color w:val="000000"/>
          <w:spacing w:val="-6"/>
          <w:sz w:val="32"/>
          <w:szCs w:val="32"/>
        </w:rPr>
        <w:t>建设工程施工现场，施工单位为责任人；尚未开工的建设工程用地或者收储土地，建设单位或者国土资源部门为责任人；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（三）文化、体育、公园、广场、公共绿地、车站、码头等公共场所，经营、管理单位为责任人；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（四）商店、超市、集贸市场、专业市场、宾馆、饭店等场地，经营、管理单位为责任人；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 w:val="32"/>
          <w:szCs w:val="32"/>
        </w:rPr>
      </w:pPr>
      <w:r>
        <w:rPr>
          <w:rFonts w:hint="eastAsia" w:ascii="仿宋_GB2312" w:hAnsi="Times New Roman" w:eastAsia="仿宋_GB2312" w:cs="Times New Roman"/>
          <w:color w:val="000000"/>
          <w:sz w:val="32"/>
          <w:szCs w:val="32"/>
        </w:rPr>
        <w:t>（五）</w:t>
      </w:r>
      <w:r>
        <w:rPr>
          <w:rFonts w:hint="eastAsia" w:ascii="仿宋_GB2312" w:hAnsi="Times New Roman" w:eastAsia="仿宋_GB2312" w:cs="Times New Roman"/>
          <w:color w:val="000000"/>
          <w:spacing w:val="-6"/>
          <w:sz w:val="32"/>
          <w:szCs w:val="32"/>
        </w:rPr>
        <w:t>机关、团体以及企事业单位管理区域，本单位为责任人；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 w:val="32"/>
          <w:szCs w:val="32"/>
        </w:rPr>
      </w:pPr>
      <w:r>
        <w:rPr>
          <w:rFonts w:hint="eastAsia" w:ascii="仿宋_GB2312" w:hAnsi="Times New Roman" w:eastAsia="仿宋_GB2312" w:cs="Times New Roman"/>
          <w:color w:val="000000"/>
          <w:sz w:val="32"/>
          <w:szCs w:val="32"/>
        </w:rPr>
        <w:t>（六）</w:t>
      </w:r>
      <w:r>
        <w:rPr>
          <w:rFonts w:hint="eastAsia" w:ascii="仿宋_GB2312" w:hAnsi="Times New Roman" w:eastAsia="仿宋_GB2312" w:cs="Times New Roman"/>
          <w:color w:val="000000"/>
          <w:spacing w:val="-6"/>
          <w:sz w:val="32"/>
          <w:szCs w:val="32"/>
        </w:rPr>
        <w:t>河道、湖泊、池塘等水域及岸线，管理单位为责任人；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（七）停车场和临时用于停车的路段，经营、管理单位为责任人。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责任人中有经营单位的，经营单位为责任人；无经营单位的，管理单位为责任人。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责任人存在争议的，由县(市、区)人民政府确定的城市管理主管部门会同街道办事处、镇人民政府按照“谁使用、谁负责”的原则共同确定并书面告知责任人。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 w:val="32"/>
          <w:szCs w:val="32"/>
        </w:rPr>
      </w:pPr>
      <w:r>
        <w:rPr>
          <w:rFonts w:ascii="Times New Roman" w:hAnsi="黑体" w:eastAsia="黑体" w:cs="Times New Roman"/>
          <w:color w:val="000000"/>
          <w:sz w:val="32"/>
          <w:szCs w:val="32"/>
        </w:rPr>
        <w:t>第八条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责任人应当与所在地的街道办事处、镇人民政府</w:t>
      </w:r>
      <w:r>
        <w:rPr>
          <w:rFonts w:hint="eastAsia" w:ascii="仿宋_GB2312" w:hAnsi="Times New Roman" w:eastAsia="仿宋_GB2312" w:cs="Times New Roman"/>
          <w:color w:val="000000"/>
          <w:spacing w:val="-6"/>
          <w:sz w:val="32"/>
          <w:szCs w:val="32"/>
        </w:rPr>
        <w:t>签订市容和环境卫生“门前三包”责任书,并在醒目位置进行标示。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责任人拒不签订责任书的，所在地的街道办事处、镇人民政府可以向责任人下达责任书。</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责任书文本格式由市城市管理行政执法部门制定。</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第九条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本市市容和环境卫生“门前三包”责任人应当保持责任区内市容市貌整洁，履行下列责任要求:</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（一）不得违反规定超出门窗、外墙经营；</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（二）不得违反规定实施搭建、放置、悬挂、张贴、涂写、刻画等行为；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（三）户外广告、招牌设置符合国家城市容貌标准；</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 w:val="32"/>
          <w:szCs w:val="32"/>
        </w:rPr>
      </w:pPr>
      <w:r>
        <w:rPr>
          <w:rFonts w:hint="eastAsia" w:ascii="仿宋_GB2312" w:hAnsi="Times New Roman" w:eastAsia="仿宋_GB2312" w:cs="Times New Roman"/>
          <w:color w:val="000000"/>
          <w:sz w:val="32"/>
          <w:szCs w:val="32"/>
        </w:rPr>
        <w:t>（四）</w:t>
      </w:r>
      <w:r>
        <w:rPr>
          <w:rFonts w:hint="eastAsia" w:ascii="仿宋_GB2312" w:hAnsi="Times New Roman" w:eastAsia="仿宋_GB2312" w:cs="Times New Roman"/>
          <w:color w:val="000000"/>
          <w:spacing w:val="-6"/>
          <w:sz w:val="32"/>
          <w:szCs w:val="32"/>
        </w:rPr>
        <w:t>饮食业油烟净化、排放符合国家饮食业油烟排放标准；</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 w:val="32"/>
          <w:szCs w:val="32"/>
        </w:rPr>
      </w:pPr>
      <w:r>
        <w:rPr>
          <w:rFonts w:hint="eastAsia" w:ascii="仿宋_GB2312" w:hAnsi="Times New Roman" w:eastAsia="仿宋_GB2312" w:cs="Times New Roman"/>
          <w:color w:val="000000"/>
          <w:sz w:val="32"/>
          <w:szCs w:val="32"/>
        </w:rPr>
        <w:t>（五）</w:t>
      </w:r>
      <w:r>
        <w:rPr>
          <w:rFonts w:hint="eastAsia" w:ascii="仿宋_GB2312" w:hAnsi="Times New Roman" w:eastAsia="仿宋_GB2312" w:cs="Times New Roman"/>
          <w:color w:val="000000"/>
          <w:spacing w:val="6"/>
          <w:sz w:val="32"/>
          <w:szCs w:val="32"/>
        </w:rPr>
        <w:t>机动车有序停放在公安机关交通管理部门划定的停放点。</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第十条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本市市容和环境卫生“门前三包”责任人应当保持责任区内环境卫生整洁，履行下列责任要求：</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（一）生活垃圾袋装，定时定点投放；</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（二）不得随意倾倒、抛撒或者堆放生活垃圾。</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第十一条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本市市容和环境卫生“门前三包”责任人应当保持责任区内绿化亮化完好，履行下列责任要求：</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（一）不得违反规定占用绿地、损毁苗木、采摘花果；</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（二）不得借助树木架线、拴系物品；</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（三）设置或者使用管理的夜景灯光和广告招牌亮化设施无缺损、断亮现象。</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第十二条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责任人应当及时劝阻、制止责任区内他人违反市容和环境卫生“门前三包”责任区管理规定的行为；劝阻、制止无效的，应当及时报告县(市、区)人民政府确定的城市管理主管部门。</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第十三条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任何单位和个人对损害市容和环境卫生的行为，有权劝阻并可以向市城市管理行政执法部门和县（市、区）人民政府确定的城市管理主管部门投诉、举报。</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县(市、区)人民政府确定的城市管理主管部门应当建立和完善投诉举报受理制度，向社会公布投诉举报电话、公众微信平台等，及时核查处理公众投诉举报事项。</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鼓励新闻媒体对损害市容和环境卫生的行为进行曝光。</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黑体" w:eastAsia="黑体" w:cs="Times New Roman"/>
          <w:color w:val="000000"/>
          <w:sz w:val="32"/>
          <w:szCs w:val="32"/>
        </w:rPr>
        <w:t>第十四条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市城市管理行政执法部门和县（市、区）人民政府确定的城市管理主管部门应当通过广播、电视、报刊、网络等公众媒体，加强市容和环境卫生“门前三包”责任区管理的宣传教育工作，提高公民参与市容和环境卫生管理的意识。</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第十五条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县（市、区）人民政府确定的城市管理主管部门应当加强对责任人落实市容和环境卫生“门前三包”责任区管理情况的监督检查，及时处置违反市容和环境卫生“门前三包”责任区管理规定的行为。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县（市、区）人民政府确定的城市管理主管部门应当每季度会同街道办事处、镇人民政府，对责任人落实市容和环境卫生“门前三包”责任区管理情况进行监督检查。</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ascii="Times New Roman" w:hAnsi="黑体" w:eastAsia="黑体" w:cs="Times New Roman"/>
          <w:color w:val="000000"/>
          <w:sz w:val="32"/>
          <w:szCs w:val="32"/>
        </w:rPr>
        <w:t>第十六条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市、县(市、区)人民政府应当建立市容和环境卫生“门前三包”责任区管理实施情况考评制度，考评结果纳入绩效考核内容，对落实市容和环境卫生“门前三包”责任成绩突出的单位和个人给予奖励。</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pacing w:val="-6"/>
          <w:sz w:val="32"/>
          <w:szCs w:val="32"/>
        </w:rPr>
      </w:pPr>
      <w:r>
        <w:rPr>
          <w:rFonts w:ascii="Times New Roman" w:hAnsi="黑体" w:eastAsia="黑体" w:cs="Times New Roman"/>
          <w:color w:val="000000"/>
          <w:sz w:val="32"/>
          <w:szCs w:val="32"/>
        </w:rPr>
        <w:t>第十七条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pacing w:val="-6"/>
          <w:sz w:val="32"/>
          <w:szCs w:val="32"/>
        </w:rPr>
        <w:t>机关、团体以及企事业单位落实市容和环境卫生“门前三包”责任区管理情况作为创建文明单位的重要考评内容。</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000000"/>
          <w:sz w:val="32"/>
          <w:szCs w:val="32"/>
        </w:rPr>
      </w:pPr>
      <w:r>
        <w:rPr>
          <w:rFonts w:ascii="Times New Roman" w:hAnsi="黑体" w:eastAsia="黑体" w:cs="Times New Roman"/>
          <w:color w:val="000000"/>
          <w:sz w:val="32"/>
          <w:szCs w:val="32"/>
        </w:rPr>
        <w:t>第十八条</w:t>
      </w:r>
      <w:r>
        <w:rPr>
          <w:rFonts w:hint="eastAsia" w:ascii="Times New Roman" w:hAnsi="黑体" w:eastAsia="黑体" w:cs="Times New Roman"/>
          <w:color w:val="000000"/>
          <w:sz w:val="32"/>
          <w:szCs w:val="32"/>
        </w:rPr>
        <w:t xml:space="preserve">  </w:t>
      </w:r>
      <w:r>
        <w:rPr>
          <w:rFonts w:ascii="Times New Roman" w:hAnsi="Times New Roman" w:eastAsia="仿宋_GB2312" w:cs="Times New Roman"/>
          <w:color w:val="000000"/>
          <w:sz w:val="32"/>
          <w:szCs w:val="32"/>
        </w:rPr>
        <w:t>单位或者个人在责任区内,有下列行为之一的，由市城市管理行政执法部门和县（市、区）人民政府确定的城市管理主管部门责令改正，并按照下列规定处以罚款：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（一）违反规定超出门窗、外墙经营的，处五百元以上二千元以下罚款；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（二）违反规定实施搭建、放置、悬挂、张贴、涂写、刻画等行为的，处二百元以上一千元以下罚款；</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（三）户外广告、招牌设置不符合国家城市容貌标准的，处五百元以上二千元以下罚款;</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（四）</w:t>
      </w:r>
      <w:r>
        <w:rPr>
          <w:rFonts w:hint="eastAsia" w:ascii="仿宋_GB2312" w:hAnsi="仿宋_GB2312" w:eastAsia="仿宋_GB2312" w:cs="仿宋_GB2312"/>
          <w:bCs/>
          <w:color w:val="000000"/>
          <w:sz w:val="32"/>
          <w:szCs w:val="32"/>
        </w:rPr>
        <w:t>随意倾倒、抛撒、焚烧或者堆放生活垃圾的，对单位处五万元以上五十万元以下罚款，没收违法所得；对个人处一百元以上五百元以下罚款，没收违法所得；</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（五）违反规定占用绿地、损毁苗木、采摘花果的，处五十元以上五百元以下罚款；</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（六）借助树木架线、拴系物品的，处五十元以上五百元以下罚款；</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（七）设置或者使用管理的夜景灯光和广告招牌亮化设施缺损、断亮不及时修复的，处五百元以上二千元以下罚款。</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sz w:val="32"/>
          <w:szCs w:val="32"/>
        </w:rPr>
      </w:pPr>
      <w:r>
        <w:rPr>
          <w:rFonts w:ascii="Times New Roman" w:hAnsi="黑体" w:eastAsia="黑体" w:cs="Times New Roman"/>
          <w:color w:val="000000"/>
          <w:sz w:val="32"/>
          <w:szCs w:val="32"/>
        </w:rPr>
        <w:t>第十九条</w:t>
      </w:r>
      <w:r>
        <w:rPr>
          <w:rFonts w:hint="eastAsia" w:ascii="Times New Roman" w:hAnsi="黑体" w:eastAsia="黑体" w:cs="Times New Roman"/>
          <w:color w:val="000000"/>
          <w:sz w:val="32"/>
          <w:szCs w:val="32"/>
        </w:rPr>
        <w:t xml:space="preserve">  </w:t>
      </w:r>
      <w:r>
        <w:rPr>
          <w:rFonts w:ascii="Times New Roman" w:hAnsi="Times New Roman" w:eastAsia="仿宋_GB2312" w:cs="Times New Roman"/>
          <w:color w:val="000000"/>
          <w:sz w:val="32"/>
          <w:szCs w:val="32"/>
        </w:rPr>
        <w:t>单位或者个人在责任区内的饮食业油烟净化、排放不符合国家饮食业油烟排放标准的，由市、区城市管理行政执法部门或者县（市）人民政府环境保护主管部门依法给予处罚。</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sz w:val="32"/>
          <w:szCs w:val="32"/>
        </w:rPr>
      </w:pPr>
      <w:r>
        <w:rPr>
          <w:rFonts w:ascii="Times New Roman" w:hAnsi="黑体" w:eastAsia="黑体" w:cs="Times New Roman"/>
          <w:color w:val="000000"/>
          <w:sz w:val="32"/>
          <w:szCs w:val="32"/>
        </w:rPr>
        <w:t>第二十条</w:t>
      </w:r>
      <w:r>
        <w:rPr>
          <w:rFonts w:hint="eastAsia" w:ascii="Times New Roman" w:hAnsi="黑体" w:eastAsia="黑体" w:cs="Times New Roman"/>
          <w:color w:val="000000"/>
          <w:sz w:val="32"/>
          <w:szCs w:val="32"/>
        </w:rPr>
        <w:t xml:space="preserve">  </w:t>
      </w:r>
      <w:r>
        <w:rPr>
          <w:rFonts w:ascii="Times New Roman" w:hAnsi="Times New Roman" w:eastAsia="仿宋_GB2312" w:cs="Times New Roman"/>
          <w:color w:val="000000"/>
          <w:sz w:val="32"/>
          <w:szCs w:val="32"/>
        </w:rPr>
        <w:t>单位或者个人在责任区内的机动车未有序停放在公安机关交通管理部门划定的停放点的，由市、区城市管理行政执法部门或者市、县（市、区）公安机关交通管理部门依法给予处罚。</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sz w:val="32"/>
          <w:szCs w:val="32"/>
        </w:rPr>
      </w:pPr>
      <w:r>
        <w:rPr>
          <w:rFonts w:ascii="Times New Roman" w:hAnsi="黑体" w:eastAsia="黑体" w:cs="Times New Roman"/>
          <w:color w:val="000000"/>
          <w:sz w:val="32"/>
          <w:szCs w:val="32"/>
        </w:rPr>
        <w:t>第二十一条</w:t>
      </w:r>
      <w:r>
        <w:rPr>
          <w:rFonts w:hint="eastAsia" w:ascii="Times New Roman" w:hAnsi="黑体" w:eastAsia="黑体" w:cs="Times New Roman"/>
          <w:color w:val="000000"/>
          <w:sz w:val="32"/>
          <w:szCs w:val="32"/>
        </w:rPr>
        <w:t xml:space="preserve">  </w:t>
      </w:r>
      <w:r>
        <w:rPr>
          <w:rFonts w:ascii="Times New Roman" w:hAnsi="Times New Roman" w:eastAsia="仿宋_GB2312" w:cs="Times New Roman"/>
          <w:color w:val="000000"/>
          <w:sz w:val="32"/>
          <w:szCs w:val="32"/>
        </w:rPr>
        <w:t>阻碍有关部门及其工作人员依法执行职务的，由公安机关依照《中华人民共和国治安管理处罚法》的规定给予处罚；构成犯罪的，依法追究刑事责任。</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sz w:val="32"/>
          <w:szCs w:val="32"/>
        </w:rPr>
      </w:pPr>
      <w:r>
        <w:rPr>
          <w:rFonts w:ascii="Times New Roman" w:hAnsi="黑体" w:eastAsia="黑体" w:cs="Times New Roman"/>
          <w:color w:val="000000"/>
          <w:sz w:val="32"/>
          <w:szCs w:val="32"/>
        </w:rPr>
        <w:t>第二十二条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市、县(市、区)城市管理有关部门和街道办事处、镇人民政府管理工作人员不履行法定职责，玩忽职守、滥用职权、徇私舞弊的，由其所在单位或者上级主管部门、监察机关给予处分；构成犯罪的，依法追究刑事责任。</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Times New Roman"/>
          <w:color w:val="000000"/>
          <w:sz w:val="32"/>
          <w:szCs w:val="32"/>
        </w:rPr>
      </w:pPr>
      <w:r>
        <w:rPr>
          <w:rFonts w:ascii="Times New Roman" w:hAnsi="黑体" w:eastAsia="黑体" w:cs="Times New Roman"/>
          <w:color w:val="000000"/>
          <w:sz w:val="32"/>
          <w:szCs w:val="32"/>
        </w:rPr>
        <w:t>第二十三条</w:t>
      </w:r>
      <w:r>
        <w:rPr>
          <w:rFonts w:hint="eastAsia" w:ascii="Times New Roman" w:hAnsi="黑体" w:eastAsia="黑体" w:cs="Times New Roman"/>
          <w:color w:val="000000"/>
          <w:sz w:val="32"/>
          <w:szCs w:val="32"/>
        </w:rPr>
        <w:t xml:space="preserve">  </w:t>
      </w:r>
      <w:r>
        <w:rPr>
          <w:rFonts w:ascii="Times New Roman" w:hAnsi="Times New Roman" w:eastAsia="仿宋_GB2312" w:cs="Times New Roman"/>
          <w:color w:val="000000"/>
          <w:sz w:val="32"/>
          <w:szCs w:val="32"/>
        </w:rPr>
        <w:t>市人民政府应当根据本规定制定实施细则。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ascii="Times New Roman" w:hAnsi="黑体" w:eastAsia="黑体" w:cs="Times New Roman"/>
          <w:color w:val="000000"/>
          <w:sz w:val="32"/>
          <w:szCs w:val="32"/>
        </w:rPr>
        <w:t>第二十四条</w:t>
      </w:r>
      <w:r>
        <w:rPr>
          <w:rFonts w:hint="eastAsia" w:ascii="Times New Roman" w:hAnsi="黑体" w:eastAsia="黑体" w:cs="Times New Roman"/>
          <w:color w:val="000000"/>
          <w:sz w:val="32"/>
          <w:szCs w:val="32"/>
        </w:rPr>
        <w:t xml:space="preserve">  </w:t>
      </w:r>
      <w:r>
        <w:rPr>
          <w:rFonts w:hint="eastAsia" w:ascii="仿宋_GB2312" w:hAnsi="Times New Roman" w:eastAsia="仿宋_GB2312" w:cs="Times New Roman"/>
          <w:color w:val="000000"/>
          <w:sz w:val="32"/>
          <w:szCs w:val="32"/>
        </w:rPr>
        <w:t>本规定自2017年9月1日起施行。</w:t>
      </w:r>
      <w:bookmarkStart w:id="0" w:name="_GoBack"/>
      <w:bookmarkEnd w:id="0"/>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1572B"/>
    <w:rsid w:val="012F4700"/>
    <w:rsid w:val="0651572B"/>
    <w:rsid w:val="06B86973"/>
    <w:rsid w:val="07E9272A"/>
    <w:rsid w:val="0FE4317D"/>
    <w:rsid w:val="17405068"/>
    <w:rsid w:val="1D2E6B67"/>
    <w:rsid w:val="1D780262"/>
    <w:rsid w:val="3ED62D0D"/>
    <w:rsid w:val="452F0859"/>
    <w:rsid w:val="47A30F0C"/>
    <w:rsid w:val="491E4B2A"/>
    <w:rsid w:val="50B33EDB"/>
    <w:rsid w:val="5DFE1E05"/>
    <w:rsid w:val="63D65503"/>
    <w:rsid w:val="63D735DA"/>
    <w:rsid w:val="6D7E52B1"/>
    <w:rsid w:val="6E6706B0"/>
    <w:rsid w:val="7149250D"/>
    <w:rsid w:val="79DF1ABC"/>
    <w:rsid w:val="7AC1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3">
    <w:name w:val="heading 2"/>
    <w:basedOn w:val="1"/>
    <w:next w:val="1"/>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Plain Text"/>
    <w:basedOn w:val="1"/>
    <w:unhideWhenUsed/>
    <w:qFormat/>
    <w:uiPriority w:val="99"/>
    <w:rPr>
      <w:rFonts w:ascii="宋体" w:hAnsi="Courier New" w:cs="Courier New"/>
    </w:rPr>
  </w:style>
  <w:style w:type="paragraph" w:styleId="5">
    <w:name w:val="Balloon Text"/>
    <w:basedOn w:val="1"/>
    <w:semiHidden/>
    <w:qFormat/>
    <w:uiPriority w:val="0"/>
    <w:rPr>
      <w:sz w:val="18"/>
      <w:szCs w:val="18"/>
    </w:rPr>
  </w:style>
  <w:style w:type="character" w:styleId="8">
    <w:name w:val="Hyperlink"/>
    <w:qFormat/>
    <w:uiPriority w:val="0"/>
    <w:rPr>
      <w:rFonts w:ascii="Calibri" w:hAnsi="Calibri" w:eastAsia="宋体" w:cs="Times New Roman"/>
      <w:color w:val="000000"/>
      <w:u w:val="none"/>
    </w:rPr>
  </w:style>
  <w:style w:type="paragraph" w:customStyle="1" w:styleId="9">
    <w:name w:val="样式2"/>
    <w:basedOn w:val="1"/>
    <w:next w:val="5"/>
    <w:qFormat/>
    <w:uiPriority w:val="0"/>
    <w:pPr>
      <w:spacing w:line="600" w:lineRule="exact"/>
      <w:ind w:right="-47" w:rightChars="-47" w:firstLine="200" w:firstLineChars="200"/>
      <w:jc w:val="left"/>
    </w:pPr>
    <w:rPr>
      <w:rFonts w:ascii="Calibri" w:hAnsi="Calibri" w:eastAsia="宋体"/>
      <w:bCs/>
      <w:kern w:val="2"/>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2021-12-28T08:34:00Z</dcterms:created>
  <dc:creator>文印室</dc:creator>
  <cp:lastModifiedBy>PC400</cp:lastModifiedBy>
  <dcterms:modified xsi:type="dcterms:W3CDTF">2022-01-18T07:36:34Z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AAB0DD2ED27044BC8A743D9FA9FBAB40</vt:lpwstr>
  </property>
</Properties>
</file>