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广州市殡葬管理规定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日广州市第十届人民代表大会常务委员会第三十九次会议通过　</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日广东省第九届人民代表大会常务委员会第三次会议批准　根据</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14</w:t>
      </w:r>
      <w:r>
        <w:rPr>
          <w:rFonts w:hint="eastAsia" w:ascii="楷体_GB2312" w:hAnsi="楷体_GB2312" w:eastAsia="楷体_GB2312" w:cs="楷体_GB2312"/>
          <w:sz w:val="32"/>
        </w:rPr>
        <w:t>日广州市第十三届人民代表大会常务委员会第四十六次会议通过并经</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9</w:t>
      </w:r>
      <w:r>
        <w:rPr>
          <w:rFonts w:hint="eastAsia" w:ascii="楷体_GB2312" w:hAnsi="楷体_GB2312" w:eastAsia="楷体_GB2312" w:cs="楷体_GB2312"/>
          <w:sz w:val="32"/>
        </w:rPr>
        <w:t>日广东省第十一届人民代表大会常务委员会第三十一次会议批准的《关于修改〈广州市销售燃放烟花爆竹管理规定〉等十件地方性法规中部分行政强制规定的决定》第一次修正　根据</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日广州市第十四届人民代表大会常务委员会第三十九次会议通过并经</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日广东省第十二届人民代表大会常务委员会第二十一次会议批准的《关于因行政区划调整修改〈广州市建筑条例〉等六十六件地方性法规的决定》第二次修正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日广州市第十五届人民代表大会常务委员会第四十九次会议通过并经</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日广东省第十三届人民代表大会常务委员会第三十五次会议批准的《关于清理广州市地方性法规中与民法典不一致条款的决定》第三次修正）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为加强殡葬管理，推进殡葬改革，保护环境资源，促进社会主义精神文明建设，根据国家殡葬管理的法规和有关规定，结合本市实际，制定本规定。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本市行政区域内的殡葬活动及其管理适用本规定。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市人民政府应将殡葬设施的建设纳入当地经济和社会发展规划，合理安排用地和资金，以适应殡葬改革的需要。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广州市民政部门主管全市殡葬管理工作。区民政部门按各自权限负责本辖区的殡葬管理工作。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各级民政部门的殡葬管理处、所（以下简称殡葬管理机构）负责殡葬活动的具体管理工作。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公安、工商、卫生、规划、国土、侨务、民族、宗教等部门应按各自职责协同实施本规定。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本市为实行火葬的地区（以下简称火葬地区）。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火葬地区内，死亡人员的遗体一律火化，禁止土葬。法律法规另有规定的除外。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火葬地区内，死亡人员的遗体由当地殡葬服务单位负责收运，其他单位和个人不得收运。在医疗单位死亡的，医疗单位应于</w:t>
      </w:r>
      <w:r>
        <w:rPr>
          <w:rFonts w:hint="default" w:ascii="Times New Roman" w:hAnsi="Times New Roman" w:eastAsia="仿宋_GB2312" w:cs="Times New Roman"/>
          <w:sz w:val="32"/>
        </w:rPr>
        <w:t>12</w:t>
      </w:r>
      <w:r>
        <w:rPr>
          <w:rFonts w:ascii="Times New Roman" w:hAnsi="Times New Roman" w:eastAsia="仿宋_GB2312"/>
          <w:sz w:val="32"/>
        </w:rPr>
        <w:t>小时内通知殡葬服务单位收运遗体。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户籍不在本市的人员在本市死亡，其遗体应就地火化。有特殊原因需将遗体运往户籍所在地殡葬的，须经户籍所在地区以上民政部门书面同意，并经本市殡葬管理机构批准。运送遗体须用殡葬专用车辆。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侨居国外的中国公民和香港特别行政区居民，澳门、台湾同胞以及外国人在本市死亡，其亲属要求将遗体运往境外或者特别行政区的，按国家有关规定办理。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凡患鼠疫、霍乱、天花、炭疽、麻风、艾滋、狂犬病等致死的以及腐变的遗体，应直接送火葬场火化，不得办理外运或者土葬。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火葬地区的医疗单位应建立在本单位死亡人员遗体登记制度，采取措施防止遗体被偷运。对偷运或者强抢遗体的行为，医疗单位应予以制止并立即通知殡葬管理机构和当地公安部门处理。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遗体需作防腐处理的，死者亲属或者死者生前所在单位应与殡葬服务单位商定防腐期限。需延长防腐期限的，应征得殡葬服务单位同意。防腐期满后仍不办理出殡的，殡仪服务单位有权将遗体火化，其费用由死者亲属或者死者生前所在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火化后的骨灰不得装棺埋葬，可采取平地深埋、播撒、寄存等方式安置。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在骨灰堂（楼）寄存的骨灰，寄存期满后六个月内不办续存手续的，管理寄存骨灰的单位有权处理。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支付火葬费确有困难的烈属、军属、伤残军人以及社会救济户，可向所在街道办事处、镇人民政府或者村民委员会申请火葬补助金。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火葬地区以外的区域为允许土葬的地区。户籍在允许土葬的地区内的人员在当地死亡后，提倡实行火葬，土葬的必须在当地农村的公益性墓地埋葬。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信奉伊斯兰教的少数民族人员死亡后，由民族事务部门出具证明，市伊斯兰教协会殡葬服务人员方可直接从医院或者家中收运遗体安葬。但因患本规定第八条规定的疾病和病毒性肝炎、伤寒、副伤寒、白喉、脊髓灰质炎等疾病致死亡的人员必须进行火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火葬地区内的坟墓需迁移，用地单位或者个人必须与当地殡葬管理机构联系起葬火化事宜，不得私自发包乱迁或者易地重葬。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地单位需要迁坟，应会同殡葬管理机构事前登报和张贴通告，通知坟主限期二个月内认领起葬。起葬后的遗骨一律火化。对逾期不认领的坟墓，有碑的，用地单位应委托殡葬管理机构统一起葬火化和编号入册，骨灰保留二年，期满后，家属仍不认领的，殡葬管理机构有权予以处理；无碑又无人认领的，用地单位可按无主坟予以平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允许土葬的地区内可建立由村民委员会兴办的，为当地村民无偿提供遗体、骨殖、骨灰安葬服务的公益性墓地，但不得与辖区外的单位或者个人合作兴办。火葬地区内禁止兴建公益性墓地。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设置农村的公益性墓地应当选用荒山瘠地，不得占用耕地。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严格控制公墓的建立。公墓的设置必须符合城乡建设发展总体规划要求。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申请兴建公墓，必须向市民政部门提交下列材料：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（二）用地情况和规划、国土管理部门的审查意见；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（三）资金来源证明；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（四）可行性报告；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经市民政部门审查同意后，须报省民政部门批准。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经省民政部门批准建公墓的申请单位，凭省民政部门的批文分别到规划、国土部门办理有关手续，领取国有土地使用权证书、建设用地规划许可证，还须到工商行政管理部门领取营业执照后，方可兴建。工程竣工后，由原审批部门验收合格后，方准开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公墓扩建按照兴建公墓的程序办理。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公墓墓区建设应道路畅通、坟墓排列整齐、布局合理、基础设施齐备、环境卫生、美化绿化，须设置管理机构并配备相应的管理人员。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公墓墓区具体建设标准，由市民政部门制定。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公益性骨灰堂（楼）、农村的公益性墓地内不得寄存、收埋非本地村民的遗体、骨殖、骨灰以及出售骨灰位、墓穴和进行经营性收费；火葬地区的公墓内不得违反国家有关规定埋葬遗体。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经村民委员会同意，祖籍在本地的非本地村民的骨灰可以寄存于本地公益性骨灰堂（楼），但不得提供墓穴用地实行土葬。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公墓、骨灰堂（楼）的经营者不得以各种形式预售、传销墓穴以及骨灰位。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已购买墓穴、骨灰位的，不得私自买卖。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生产、销售殡仪丧葬用品的单位和个人，须经市民政部门审查批准并到工商行政管理部门登记注册后，方可经营。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未经民政部门同意，公墓、骨灰堂（楼）的经营者不得发布经营性骨灰堂（楼）、公墓广告。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殡仪服务的收费应当执行国家和省、市的有关规定。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将应火化的遗体土葬的，在公墓和农村的公益性墓地以外的地方埋葬遗体的，重建新建宗族墓地或者建造寿穴的，在公益性墓地收埋非本地村民的遗体、骨殖、骨灰的，擅自迁坟异地重葬的，由民政部门视情况责令限期起葬火化、迁坟，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违反第二十一条第二款、第二十二条、第二十三条规定的，由工商行政管理部门依照工商管理有关法律、法规予以处理。违反第二十一条第一款规定的，由工商行政管理部门予以取缔。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医疗单位不按规定擅自允许当事人把遗体运走的，由其主管部门追究有关责任人行政责任。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围攻殴打执法人员，阻挠执法人员依法执行公务的，由公安机关依照《中华人民共和国治安管理处罚条例》予以处罚；涉嫌犯罪的，由司法机关依法处理。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革命烈士墓、知名人士墓、宗教坟场、回族坟场、满族坟场和具有历史、艺术、科学价值的古墓的管理，按有关规定执行。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本规定自</w:t>
      </w:r>
      <w:r>
        <w:rPr>
          <w:rFonts w:hint="default" w:ascii="Times New Roman" w:hAnsi="Times New Roman" w:eastAsia="仿宋_GB2312" w:cs="Times New Roman"/>
          <w:sz w:val="32"/>
        </w:rPr>
        <w:t>1998</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1990</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18</w:t>
      </w:r>
      <w:r>
        <w:rPr>
          <w:rFonts w:ascii="Times New Roman" w:hAnsi="Times New Roman" w:eastAsia="仿宋_GB2312"/>
          <w:sz w:val="32"/>
        </w:rPr>
        <w:t>日市人民政府颁发的《广州市殡葬管</w:t>
      </w:r>
      <w:bookmarkStart w:id="0" w:name="_GoBack"/>
      <w:bookmarkEnd w:id="0"/>
      <w:r>
        <w:rPr>
          <w:rFonts w:ascii="Times New Roman" w:hAnsi="Times New Roman" w:eastAsia="仿宋_GB2312"/>
          <w:sz w:val="32"/>
        </w:rPr>
        <w:t>理实施办法》同时废止。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D1168C6"/>
    <w:rsid w:val="53543565"/>
    <w:rsid w:val="558A062C"/>
    <w:rsid w:val="60050FFB"/>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2024-03-28T07:59:58Z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