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保税区海关监管办法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(1997年6月10日国务院批准　1997年8月1日海关总署令第65号发布　根据2011年1月8日《国务院关于废止和修改部分行政法规的决定》修订)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为了加强与完善海关对保税区的监管，促进保税区的健康发展，根据海关法和其他有关法律的规定，制定本办法。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在中华人民共和国境内设立保税区，必须经国务院批准。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保税区是海关监管的特定区域。海关依照本办法对进出保税区的货物、运输工具、个人携带物品实施监管。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保税区与中华人民共和国境内的其他地区(以下简称非保税区)之间，应当设置符合海关监管要求的隔离设施。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保税区内仅设置保税区行政管理机构和企业。除安全保卫人员外，其他人员不得在保税区内居住。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在保税区内设立的企业(以下简称区内企业)，应当向海关办理注册手续。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区内企业应当依照国家有关法律、行政法规的规定设置账簿、编制报表，凭合法、有效凭证记账并进行核算，记录有关进出保税区货物和物品的库存、转让、转移、销售、加工、使用和损耗等情况。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保税区实行海关稽查制度。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区内企业应当与海关实行电子计算机联网，进行电子数据交换。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海关对进出保税区的货物、物品、运输工具、人员及区内有关场所，有权依照海关法的规定进行检查、查验。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国家禁止进出口的货物、物品，不得进出保税区。</w:t>
      </w:r>
    </w:p>
    <w:p>
      <w:pPr>
        <w:pStyle w:val="3"/>
        <w:bidi w:val="0"/>
      </w:pPr>
      <w:r>
        <w:t>第二章　对保税区与境外之间进出货物的监管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海关对保税区与境外之间进出的货物，实施简便、有效的监管。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保税区与境外之间进出的货物，由货物的收货人、发货人或其代理人向海关备案。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对保税区与境外之间进出的货物，除实行出口被动配额管理的外，不实行进出口配额、许可证管理。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从境外进入保税区的货物，其进口关税和进口环节税收，除法律、行政法规另有规定外，按照下列规定办理：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(一)区内生产性的基础设施建设项目所需的机器、设备和其他基建物资，予以免税；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(二)区内企业自用的生产、管理设备和自用合理数量的办公用品及其所需的维修零配件，生产用燃料，建设生产厂房、仓储设施所需的物资、设备，予以免税；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(三)保税区行政管理机构自用合理数量的管理设备和办公用品及其所需的维修零配件，予以免税；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(四)区内企业为加工出口产品所需的原材料、零部件、元器件、包装物件，予以保税。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前款第(一)项至第(四)项规定范围以外的货物或者物品从境外进入保税区，应当依法纳税。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转口货物和在保税区内储存的货物按照保税货物管理。</w:t>
      </w:r>
    </w:p>
    <w:p>
      <w:pPr>
        <w:pStyle w:val="3"/>
        <w:bidi w:val="0"/>
      </w:pPr>
      <w:r>
        <w:t>第三章　对保税区与非保税区之间进出货物的监管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从保税区进入非保税区的货物，按照进口货物办理手续；从非保税区进入保税区的货物，按照出口货物办理手续，出口退税按照国家有关规定办理。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海关对保税区与非保税区之间进出的货物，按照国家有关进出口管理的规定实施监管。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从非保税区进入保税区供区内使用的机器、设备、基建物资和物品，使用单位应当向海关提供上述货物或者物品的清单，经海关查验后放行。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前款货物或者物品，已经缴纳进口关税和进口环节税收的，已纳税款不予退还。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保税区的货物需从非保税区口岸进出口或者保税区内的货物运往另一保税区的，应当事先向海关提出书面申请，经海关批准后，按照海关转关运输及有关规定办理。</w:t>
      </w:r>
    </w:p>
    <w:p>
      <w:pPr>
        <w:pStyle w:val="3"/>
        <w:bidi w:val="0"/>
      </w:pPr>
      <w:r>
        <w:t>第四章　对保税区内货物的监管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保税区内的货物可以在区内企业之间转让、转移；双方当事人应当就转让、转移事项向海关备案。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保税区内的转口货物可以在区内仓库或者区内其他场所进行分级、挑选、刷贴标志、改换包装形式等简单加工。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区内企业在保税区内举办境外商品和非保税区商品的展示活动，展示的商品应当接受海关监管。</w:t>
      </w:r>
    </w:p>
    <w:p>
      <w:pPr>
        <w:pStyle w:val="3"/>
        <w:bidi w:val="0"/>
      </w:pPr>
      <w:r>
        <w:t>第五章　对保税区加工贸易货物的管理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区内加工企业应当向海关办理所需料、件进出保税区备案手续。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区内加工企业生产属于被动配额管理的出口产品，应当事先经国务院有关主管部门批准。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区内加工企业加工的制成品及其在加工过程中产生的边角余料运往境外时，应当按照国家有关规定向海关办理手续；除法律、行政法规另有规定外，免征出口关税。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区内加工企业将区内加工的制成品、副次品或者在加工过程中产生的边角余料运往非保税区时，应当按照国家有关规定向海关办理进口报关手续，并依法纳税。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区内加工企业全部用境外运入料、件加工的制成品销往非保税区时，海关按照进口制成品征税。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用含有境外运入料、件加工的制成品销往非保税区时，海关对其制成品按照所含境外运入料、件征税；对所含境外运入料、件的品名、数量、价值申报不实的，海关按照进口制成品征税。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区内加工企业委托非保税区企业或者接受非保税区企业委托进行加工业务，应当事先经海关批准，并符合下列条件：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(一)在区内拥有生产场所，并已经正式开展加工业务；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(二)委托非保税区企业的加工业务，主要工序应当在区内进行；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委托非保税区企业加工业务的期限为6个月；有特殊情况需要延长期限的，应当向海关申请展期，展期期限为6个月。在非保税区加工完毕的产品应当运回保税区；需要从非保税区直接出口的，应当向海关办理核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非保税区企业委托加工的，由区内加工企业向海关办理委托加工料、件的备案手续，委托加工的料、件及产品应当与区内企业的料、件及产品分别建立账册并分别使用。加工完毕的产品应当运回非保税区企业，并由区内加工企业向海关销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海关对区内加工企业进料加工、来料加工业务，不实行加工贸易银行保证金台账制度。</w:t>
      </w:r>
    </w:p>
    <w:p>
      <w:pPr>
        <w:pStyle w:val="10"/>
        <w:ind w:firstLine="616" w:firstLineChars="20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委托非保税区企业进行加工业务的，由非保税区企业向当地海关办理合同登记备案手续，并实行加工贸易银行保证</w:t>
      </w:r>
      <w:r>
        <w:rPr>
          <w:rFonts w:ascii="Times New Roman" w:hAnsi="Times New Roman" w:eastAsia="仿宋_GB2312" w:cs="Times New Roman"/>
          <w:sz w:val="32"/>
          <w:szCs w:val="32"/>
        </w:rPr>
        <w:t>金台账制度。</w:t>
      </w:r>
    </w:p>
    <w:p>
      <w:pPr>
        <w:pStyle w:val="3"/>
        <w:bidi w:val="0"/>
      </w:pPr>
      <w:r>
        <w:t>第六章　对进出保税区运输工具和个人携带物品的监管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运输工具和人员进出保税区，应当经由海关指定的专用通道，并接受海关检查。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进出保税区的运输工具的负责人，应当持保税区主管机关批准的证件连同运输工具的名称、数量、牌照号码及驾驶员姓名等清单，向海关办理登记备案手续。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未经海关批准，从保税区到非保税区的运输工具和人员不得运输、携带保税区内的免税货物、物品，保税货物，以及用保税料、件生产的产品。</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违反本办法规定的，由海关依照《中华人民共和国海关法》及《中华人民共和国海关行政处罚实施条例》的规定处理；情节严重的，海关可以取消区内企业在海关的注册资格。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本办法规定的有关备案的具体办法，由海关总署制定。</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本办法自发布之日起施行。《中华人民共和国海关对进出上海外高桥保税区货物、运输工具和个人携带物品的管理办法》同时废止。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BAE7296"/>
    <w:rsid w:val="2D644059"/>
    <w:rsid w:val="2DBE0D65"/>
    <w:rsid w:val="2E1B43B4"/>
    <w:rsid w:val="2ED32E01"/>
    <w:rsid w:val="2F7837FD"/>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DF3D2B"/>
    <w:rsid w:val="4EED79F5"/>
    <w:rsid w:val="5080370D"/>
    <w:rsid w:val="523F45D1"/>
    <w:rsid w:val="52695AB4"/>
    <w:rsid w:val="529D4C7B"/>
    <w:rsid w:val="53BF5C69"/>
    <w:rsid w:val="53DA0A43"/>
    <w:rsid w:val="55B865F8"/>
    <w:rsid w:val="55D520AC"/>
    <w:rsid w:val="575D4E2E"/>
    <w:rsid w:val="58035B31"/>
    <w:rsid w:val="58F6185E"/>
    <w:rsid w:val="591257DC"/>
    <w:rsid w:val="5B353B99"/>
    <w:rsid w:val="5C223266"/>
    <w:rsid w:val="5DB22BFD"/>
    <w:rsid w:val="5DD739B2"/>
    <w:rsid w:val="5E900D37"/>
    <w:rsid w:val="5F2B664E"/>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2019-06-03T13:23:44Z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