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rPr>
      </w:pPr>
      <w:r>
        <w:rPr>
          <w:rFonts w:hint="eastAsia" w:ascii="宋体" w:hAnsi="宋体"/>
          <w:b/>
          <w:bCs w:val="0"/>
          <w:sz w:val="44"/>
          <w:szCs w:val="44"/>
          <w:lang w:eastAsia="zh-CN"/>
        </w:rPr>
        <w:t>宽甸</w:t>
      </w:r>
      <w:r>
        <w:rPr>
          <w:rFonts w:hint="eastAsia" w:ascii="宋体" w:hAnsi="宋体"/>
          <w:b/>
          <w:bCs w:val="0"/>
          <w:sz w:val="44"/>
          <w:szCs w:val="44"/>
        </w:rPr>
        <w:t>满族自治县浑江流域水环境保护条例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20</w:t>
      </w:r>
      <w:r>
        <w:rPr>
          <w:rFonts w:hint="eastAsia" w:ascii="楷体" w:hAnsi="楷体" w:eastAsia="楷体" w:cs="楷体"/>
          <w:b/>
          <w:bCs/>
          <w:sz w:val="32"/>
          <w:szCs w:val="32"/>
          <w:lang w:val="en-US" w:eastAsia="zh-CN"/>
        </w:rPr>
        <w:t>21</w:t>
      </w:r>
      <w:r>
        <w:rPr>
          <w:rFonts w:hint="eastAsia" w:ascii="楷体" w:hAnsi="楷体" w:eastAsia="楷体" w:cs="楷体"/>
          <w:b/>
          <w:bCs/>
          <w:sz w:val="32"/>
          <w:szCs w:val="32"/>
        </w:rPr>
        <w:t>年1月</w:t>
      </w:r>
      <w:r>
        <w:rPr>
          <w:rFonts w:hint="eastAsia" w:ascii="楷体" w:hAnsi="楷体" w:eastAsia="楷体" w:cs="楷体"/>
          <w:b/>
          <w:bCs/>
          <w:sz w:val="32"/>
          <w:szCs w:val="32"/>
          <w:lang w:val="en-US" w:eastAsia="zh-CN"/>
        </w:rPr>
        <w:t>8</w:t>
      </w:r>
      <w:r>
        <w:rPr>
          <w:rFonts w:hint="eastAsia" w:ascii="楷体" w:hAnsi="楷体" w:eastAsia="楷体" w:cs="楷体"/>
          <w:b/>
          <w:bCs/>
          <w:sz w:val="32"/>
          <w:szCs w:val="32"/>
        </w:rPr>
        <w:t>日宽甸满族自治县第七届人民代表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大会第</w:t>
      </w:r>
      <w:r>
        <w:rPr>
          <w:rFonts w:hint="eastAsia" w:ascii="楷体" w:hAnsi="楷体" w:eastAsia="楷体" w:cs="楷体"/>
          <w:b/>
          <w:bCs/>
          <w:sz w:val="32"/>
          <w:szCs w:val="32"/>
          <w:lang w:eastAsia="zh-CN"/>
        </w:rPr>
        <w:t>四</w:t>
      </w:r>
      <w:r>
        <w:rPr>
          <w:rFonts w:hint="eastAsia" w:ascii="楷体" w:hAnsi="楷体" w:eastAsia="楷体" w:cs="楷体"/>
          <w:b/>
          <w:bCs/>
          <w:sz w:val="32"/>
          <w:szCs w:val="32"/>
        </w:rPr>
        <w:t>次会议通过</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20</w:t>
      </w:r>
      <w:r>
        <w:rPr>
          <w:rFonts w:hint="eastAsia" w:ascii="楷体" w:hAnsi="楷体" w:eastAsia="楷体" w:cs="楷体"/>
          <w:b/>
          <w:bCs/>
          <w:sz w:val="32"/>
          <w:szCs w:val="32"/>
          <w:lang w:val="en-US" w:eastAsia="zh-CN"/>
        </w:rPr>
        <w:t>21</w:t>
      </w:r>
      <w:r>
        <w:rPr>
          <w:rFonts w:hint="eastAsia" w:ascii="楷体" w:hAnsi="楷体" w:eastAsia="楷体" w:cs="楷体"/>
          <w:b/>
          <w:bCs/>
          <w:sz w:val="32"/>
          <w:szCs w:val="32"/>
        </w:rPr>
        <w:t>年</w:t>
      </w:r>
      <w:r>
        <w:rPr>
          <w:rFonts w:hint="eastAsia" w:ascii="楷体" w:hAnsi="楷体" w:eastAsia="楷体" w:cs="楷体"/>
          <w:b/>
          <w:bCs/>
          <w:sz w:val="32"/>
          <w:szCs w:val="32"/>
          <w:lang w:val="en-US" w:eastAsia="zh-CN"/>
        </w:rPr>
        <w:t>7</w:t>
      </w:r>
      <w:r>
        <w:rPr>
          <w:rFonts w:hint="eastAsia" w:ascii="楷体" w:hAnsi="楷体" w:eastAsia="楷体" w:cs="楷体"/>
          <w:b/>
          <w:bCs/>
          <w:sz w:val="32"/>
          <w:szCs w:val="32"/>
        </w:rPr>
        <w:t>月</w:t>
      </w:r>
      <w:r>
        <w:rPr>
          <w:rFonts w:hint="eastAsia" w:ascii="楷体" w:hAnsi="楷体" w:eastAsia="楷体" w:cs="楷体"/>
          <w:b/>
          <w:bCs/>
          <w:sz w:val="32"/>
          <w:szCs w:val="32"/>
          <w:lang w:val="en-US" w:eastAsia="zh-CN"/>
        </w:rPr>
        <w:t>27</w:t>
      </w:r>
      <w:r>
        <w:rPr>
          <w:rFonts w:hint="eastAsia" w:ascii="楷体" w:hAnsi="楷体" w:eastAsia="楷体" w:cs="楷体"/>
          <w:b/>
          <w:bCs/>
          <w:sz w:val="32"/>
          <w:szCs w:val="32"/>
        </w:rPr>
        <w:t>日辽宁省第十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rPr>
        <w:t>三届人民代表大会常务委员会第</w:t>
      </w:r>
      <w:r>
        <w:rPr>
          <w:rFonts w:hint="eastAsia" w:ascii="楷体" w:hAnsi="楷体" w:eastAsia="楷体" w:cs="楷体"/>
          <w:b/>
          <w:bCs/>
          <w:sz w:val="32"/>
          <w:szCs w:val="32"/>
          <w:lang w:eastAsia="zh-CN"/>
        </w:rPr>
        <w:t>二</w:t>
      </w:r>
      <w:r>
        <w:rPr>
          <w:rFonts w:hint="eastAsia" w:ascii="楷体" w:hAnsi="楷体" w:eastAsia="楷体" w:cs="楷体"/>
          <w:b/>
          <w:bCs/>
          <w:sz w:val="32"/>
          <w:szCs w:val="32"/>
        </w:rPr>
        <w:t>十</w:t>
      </w:r>
      <w:r>
        <w:rPr>
          <w:rFonts w:hint="eastAsia" w:ascii="楷体" w:hAnsi="楷体" w:eastAsia="楷体" w:cs="楷体"/>
          <w:b/>
          <w:bCs/>
          <w:sz w:val="32"/>
          <w:szCs w:val="32"/>
          <w:lang w:eastAsia="zh-CN"/>
        </w:rPr>
        <w:t>七</w:t>
      </w:r>
      <w:r>
        <w:rPr>
          <w:rFonts w:hint="eastAsia" w:ascii="楷体" w:hAnsi="楷体" w:eastAsia="楷体" w:cs="楷体"/>
          <w:b/>
          <w:bCs/>
          <w:sz w:val="32"/>
          <w:szCs w:val="32"/>
        </w:rPr>
        <w:t>次会议批准</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第一条</w:t>
      </w:r>
      <w:r>
        <w:rPr>
          <w:rFonts w:hint="eastAsia" w:ascii="仿宋" w:hAnsi="仿宋" w:eastAsia="仿宋" w:cs="仿宋"/>
          <w:b w:val="0"/>
          <w:bCs/>
          <w:color w:val="000000" w:themeColor="text1"/>
          <w:sz w:val="32"/>
          <w:szCs w:val="32"/>
          <w:lang w:val="en-US" w:eastAsia="zh-CN"/>
        </w:rPr>
        <w:t xml:space="preserve">  为了加强浑江流域水环境保护和管理，防治水环境污染，维护水生态安全，促进经济社会绿色发展高质量发展，根据《中华人民共和国环境保护法》《中华人民共和国水法》《中华人民共和国水污染防治法》及有关法律法规，结合自治县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第二条</w:t>
      </w:r>
      <w:r>
        <w:rPr>
          <w:rFonts w:hint="eastAsia" w:ascii="仿宋" w:hAnsi="仿宋" w:eastAsia="仿宋" w:cs="仿宋"/>
          <w:b w:val="0"/>
          <w:bCs/>
          <w:color w:val="000000" w:themeColor="text1"/>
          <w:sz w:val="32"/>
          <w:szCs w:val="32"/>
          <w:lang w:val="en-US" w:eastAsia="zh-CN"/>
        </w:rPr>
        <w:t xml:space="preserve">  本条例适用于自治县浑江流域的水资源保护、水污染防治、水生态保护等水环境保护和管理活动。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本条例所称的浑江流域，是指自治县行政区域内浑江干流及其支流的汇水区域。具体范围由自治县水行政主管部门划定，报自治县人民政府批准后向社会公布。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第三条</w:t>
      </w:r>
      <w:r>
        <w:rPr>
          <w:rFonts w:hint="eastAsia" w:ascii="仿宋" w:hAnsi="仿宋" w:eastAsia="仿宋" w:cs="仿宋"/>
          <w:b w:val="0"/>
          <w:bCs/>
          <w:color w:val="000000" w:themeColor="text1"/>
          <w:sz w:val="32"/>
          <w:szCs w:val="32"/>
          <w:lang w:val="en-US" w:eastAsia="zh-CN"/>
        </w:rPr>
        <w:t xml:space="preserve">  浑江流域水环境保护应当遵循生态优先、保护为主、源头控制、系统治理、损害担责的原则。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第四条</w:t>
      </w:r>
      <w:r>
        <w:rPr>
          <w:rFonts w:hint="eastAsia" w:ascii="仿宋" w:hAnsi="仿宋" w:eastAsia="仿宋" w:cs="仿宋"/>
          <w:b w:val="0"/>
          <w:bCs/>
          <w:color w:val="000000" w:themeColor="text1"/>
          <w:sz w:val="32"/>
          <w:szCs w:val="32"/>
          <w:lang w:val="en-US" w:eastAsia="zh-CN"/>
        </w:rPr>
        <w:t xml:space="preserve">  自治县人民政府应当加强对浑江流域水环境保护工作的组织领导，建立健全领导协调机制和联合执法机制。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生态环境主管部门对浑江流域水环境保护实施统一监督管理。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自治县人民政府发展改革、水利、应急管理、公安、林业和草原、农业农村、交通运输等有关部门和属地乡（镇）人民政府，应当依照各自职责做好浑江流域水环境保护工作。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第五条</w:t>
      </w:r>
      <w:r>
        <w:rPr>
          <w:rFonts w:hint="eastAsia" w:ascii="仿宋" w:hAnsi="仿宋" w:eastAsia="仿宋" w:cs="仿宋"/>
          <w:b w:val="0"/>
          <w:bCs/>
          <w:color w:val="000000" w:themeColor="text1"/>
          <w:sz w:val="32"/>
          <w:szCs w:val="32"/>
          <w:lang w:val="en-US" w:eastAsia="zh-CN"/>
        </w:rPr>
        <w:t xml:space="preserve">  浑江流域水环境保护与管理依照河长制分级分段落实主体责任。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自治县建立浑江流域水环境保护管理目标责任考核制度，考核情况应当作为县乡两级河长考核和绩效考评的主要内容，考核结果向社会公布。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第六条</w:t>
      </w:r>
      <w:r>
        <w:rPr>
          <w:rFonts w:hint="eastAsia" w:ascii="仿宋" w:hAnsi="仿宋" w:eastAsia="仿宋" w:cs="仿宋"/>
          <w:b w:val="0"/>
          <w:bCs/>
          <w:color w:val="000000" w:themeColor="text1"/>
          <w:sz w:val="32"/>
          <w:szCs w:val="32"/>
          <w:lang w:val="en-US" w:eastAsia="zh-CN"/>
        </w:rPr>
        <w:t xml:space="preserve">  自治县人民政府应当将浑江流域水环境保护纳入国民经济和社会发展规划，并将保护工作经费纳入本级财政预算。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第七条</w:t>
      </w:r>
      <w:r>
        <w:rPr>
          <w:rFonts w:hint="eastAsia" w:ascii="仿宋" w:hAnsi="仿宋" w:eastAsia="仿宋" w:cs="仿宋"/>
          <w:b w:val="0"/>
          <w:bCs/>
          <w:color w:val="000000" w:themeColor="text1"/>
          <w:sz w:val="32"/>
          <w:szCs w:val="32"/>
          <w:lang w:val="en-US" w:eastAsia="zh-CN"/>
        </w:rPr>
        <w:t xml:space="preserve">  自治县人民政府应当建立防治水环境污染的应急处理机制，组织应急管理、生态环境、水行政等职能部门，制定浑江流域水污染突发事件应急预案，定期开展应急演练，做好突发水污染事故的应急准备、应急处置和事后恢复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第八条</w:t>
      </w:r>
      <w:r>
        <w:rPr>
          <w:rFonts w:hint="eastAsia" w:ascii="仿宋" w:hAnsi="仿宋" w:eastAsia="仿宋" w:cs="仿宋"/>
          <w:b w:val="0"/>
          <w:bCs/>
          <w:color w:val="000000" w:themeColor="text1"/>
          <w:sz w:val="32"/>
          <w:szCs w:val="32"/>
          <w:lang w:val="en-US" w:eastAsia="zh-CN"/>
        </w:rPr>
        <w:t xml:space="preserve">  自治县人民政府应当加强对浑江流域水环境保护的宣传教育，增强公民保护意识，营造保护水环境的良好氛围。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广播、电视、报刊、网络等媒体应当加强对浑江流域水环境保护工作的宣传报道和舆论监督。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第九条</w:t>
      </w:r>
      <w:r>
        <w:rPr>
          <w:rFonts w:hint="eastAsia" w:ascii="仿宋" w:hAnsi="仿宋" w:eastAsia="仿宋" w:cs="仿宋"/>
          <w:b w:val="0"/>
          <w:bCs/>
          <w:color w:val="000000" w:themeColor="text1"/>
          <w:sz w:val="32"/>
          <w:szCs w:val="32"/>
          <w:lang w:val="en-US" w:eastAsia="zh-CN"/>
        </w:rPr>
        <w:t xml:space="preserve">  任何单位和个人都有保护浑江流域水环境的义务，对损害、破坏浑江流域水环境的行为有权劝导、制止和报告。相关主管部门或属地乡（镇）人民政府应当及时依法查处。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对污染、破坏浑江流域水环境，损害社会公共利益的行为，可以依法提起公益诉讼。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浑江流域属地村(居）民委员会，应当引导村（居）民自觉维护好辖区内浑江流域水环境，提倡在村规民约、居民公约中规定浑江流域水环境保护的相关内容。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第十条</w:t>
      </w:r>
      <w:r>
        <w:rPr>
          <w:rFonts w:hint="eastAsia" w:ascii="仿宋" w:hAnsi="仿宋" w:eastAsia="仿宋" w:cs="仿宋"/>
          <w:b w:val="0"/>
          <w:bCs/>
          <w:color w:val="000000" w:themeColor="text1"/>
          <w:sz w:val="32"/>
          <w:szCs w:val="32"/>
          <w:lang w:val="en-US" w:eastAsia="zh-CN"/>
        </w:rPr>
        <w:t xml:space="preserve">  自治县人民政府对在浑江流域水环境保护工作中表现优秀或做出突出贡献的单位和个人，应当给予表彰和奖励。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第十一条</w:t>
      </w:r>
      <w:r>
        <w:rPr>
          <w:rFonts w:hint="eastAsia" w:ascii="仿宋" w:hAnsi="仿宋" w:eastAsia="仿宋" w:cs="仿宋"/>
          <w:b w:val="0"/>
          <w:bCs/>
          <w:color w:val="000000" w:themeColor="text1"/>
          <w:sz w:val="32"/>
          <w:szCs w:val="32"/>
          <w:lang w:val="en-US" w:eastAsia="zh-CN"/>
        </w:rPr>
        <w:t xml:space="preserve">  自治县人民政府应当根据浑江流域水环境保护的需要，与相邻地区同级人民政府协商建立共治、共管、共享的跨行政区域联动协调保护机制，协调解决跨行政区域的浑江流域水环境保护重大事项。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第十二条</w:t>
      </w:r>
      <w:r>
        <w:rPr>
          <w:rFonts w:hint="eastAsia" w:ascii="仿宋" w:hAnsi="仿宋" w:eastAsia="仿宋" w:cs="仿宋"/>
          <w:b w:val="0"/>
          <w:bCs/>
          <w:color w:val="000000" w:themeColor="text1"/>
          <w:sz w:val="32"/>
          <w:szCs w:val="32"/>
          <w:lang w:val="en-US" w:eastAsia="zh-CN"/>
        </w:rPr>
        <w:t xml:space="preserve">  自治县人民政府林业和草原主管部门应当采取必要措施保护天然湿地，防止湿地面积减少和湿地污染，维护湿地生态功能。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禁止侵占自然湿地等水源涵养空间，已侵占的应当限期予以恢复。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第十三条</w:t>
      </w:r>
      <w:r>
        <w:rPr>
          <w:rFonts w:hint="eastAsia" w:ascii="仿宋" w:hAnsi="仿宋" w:eastAsia="仿宋" w:cs="仿宋"/>
          <w:b w:val="0"/>
          <w:bCs/>
          <w:color w:val="000000" w:themeColor="text1"/>
          <w:sz w:val="32"/>
          <w:szCs w:val="32"/>
          <w:lang w:val="en-US" w:eastAsia="zh-CN"/>
        </w:rPr>
        <w:t xml:space="preserve">  自治县人民政府和浑江流域属地乡（镇）人民政府应当建立饮用水水源保护区制度。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第十四条</w:t>
      </w:r>
      <w:r>
        <w:rPr>
          <w:rFonts w:hint="eastAsia" w:ascii="仿宋" w:hAnsi="仿宋" w:eastAsia="仿宋" w:cs="仿宋"/>
          <w:b w:val="0"/>
          <w:bCs/>
          <w:color w:val="000000" w:themeColor="text1"/>
          <w:sz w:val="32"/>
          <w:szCs w:val="32"/>
          <w:lang w:val="en-US" w:eastAsia="zh-CN"/>
        </w:rPr>
        <w:t xml:space="preserve">  自治县人民政府和浑江流域属地乡（镇）人民政府应当合理调整产业布局和产业结构，推行清洁生产和资源循环利用，建立绿色产业体系。</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0"/>
          <w:szCs w:val="30"/>
          <w:lang w:val="en-US" w:eastAsia="zh-CN"/>
        </w:rPr>
        <w:t>第十五条</w:t>
      </w:r>
      <w:r>
        <w:rPr>
          <w:rFonts w:hint="eastAsia" w:ascii="仿宋" w:hAnsi="仿宋" w:eastAsia="仿宋" w:cs="仿宋"/>
          <w:b w:val="0"/>
          <w:bCs/>
          <w:color w:val="000000" w:themeColor="text1"/>
          <w:sz w:val="32"/>
          <w:szCs w:val="32"/>
          <w:lang w:val="en-US" w:eastAsia="zh-CN"/>
        </w:rPr>
        <w:t xml:space="preserve">  自治县人民政府加强对浑江流域鱼类资源以及其他水生生物多样性的保护，维持水生态平衡。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浑江流域内不得擅自引进或者放生外来水生物种。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第十六条</w:t>
      </w:r>
      <w:r>
        <w:rPr>
          <w:rFonts w:hint="eastAsia" w:ascii="仿宋" w:hAnsi="仿宋" w:eastAsia="仿宋" w:cs="仿宋"/>
          <w:b w:val="0"/>
          <w:bCs/>
          <w:color w:val="000000" w:themeColor="text1"/>
          <w:sz w:val="32"/>
          <w:szCs w:val="32"/>
          <w:lang w:val="en-US" w:eastAsia="zh-CN"/>
        </w:rPr>
        <w:t xml:space="preserve">  自治县人民政府应当建立浑江流域矿山生态环境修复制度，采取工程、生物等治理措施，实施露天开采矿山废弃地、闭坑矿山、采矿塌陷区等生态环境修复。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第十七条</w:t>
      </w:r>
      <w:r>
        <w:rPr>
          <w:rFonts w:hint="eastAsia" w:ascii="仿宋" w:hAnsi="仿宋" w:eastAsia="仿宋" w:cs="仿宋"/>
          <w:b w:val="0"/>
          <w:bCs/>
          <w:color w:val="000000" w:themeColor="text1"/>
          <w:sz w:val="32"/>
          <w:szCs w:val="32"/>
          <w:lang w:val="en-US" w:eastAsia="zh-CN"/>
        </w:rPr>
        <w:t xml:space="preserve"> 自治县水行政主管部门应当严格控制浑江流域地下水资源开发利用，依法划定地下水禁止开采或者限制开采区。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从事地下勘探、采矿等可能干扰地下含水层的活动，应当采取防止破坏地下水资源的措施。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第十八条</w:t>
      </w:r>
      <w:r>
        <w:rPr>
          <w:rFonts w:hint="eastAsia" w:ascii="仿宋" w:hAnsi="仿宋" w:eastAsia="仿宋" w:cs="仿宋"/>
          <w:b w:val="0"/>
          <w:bCs/>
          <w:color w:val="000000" w:themeColor="text1"/>
          <w:sz w:val="32"/>
          <w:szCs w:val="32"/>
          <w:lang w:val="en-US" w:eastAsia="zh-CN"/>
        </w:rPr>
        <w:t xml:space="preserve">  在浑江流域设置排污口的单位，应当在排污口设置标志牌，载明相关信息，接受社会监督。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第十九条</w:t>
      </w:r>
      <w:r>
        <w:rPr>
          <w:rFonts w:hint="eastAsia" w:ascii="仿宋" w:hAnsi="仿宋" w:eastAsia="仿宋" w:cs="仿宋"/>
          <w:b w:val="0"/>
          <w:bCs/>
          <w:color w:val="000000" w:themeColor="text1"/>
          <w:sz w:val="32"/>
          <w:szCs w:val="32"/>
          <w:lang w:val="en-US" w:eastAsia="zh-CN"/>
        </w:rPr>
        <w:t xml:space="preserve">  浑江流域排污单位应当按照国家和省有关规定监测水污染物排放并保存原始监测数据。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重点排污单位应当安装水污染物排放自动监测设备，与生态环境主管部门的监控设备联网，保证监测设备正常运行并依法公开排放信息。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第二十条</w:t>
      </w:r>
      <w:r>
        <w:rPr>
          <w:rFonts w:hint="eastAsia" w:ascii="仿宋" w:hAnsi="仿宋" w:eastAsia="仿宋" w:cs="仿宋"/>
          <w:b w:val="0"/>
          <w:bCs/>
          <w:color w:val="000000" w:themeColor="text1"/>
          <w:sz w:val="32"/>
          <w:szCs w:val="32"/>
          <w:lang w:val="en-US" w:eastAsia="zh-CN"/>
        </w:rPr>
        <w:t xml:space="preserve">  自治县人民政府应当组织浑江流域属地乡（镇）人民政府，统筹规划和建设生活污水集中处理设施及其配套管网，提高污水收集率和处理率，确保生活污水达标排放。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第二十一条</w:t>
      </w:r>
      <w:r>
        <w:rPr>
          <w:rFonts w:hint="eastAsia" w:ascii="仿宋" w:hAnsi="仿宋" w:eastAsia="仿宋" w:cs="仿宋"/>
          <w:b w:val="0"/>
          <w:bCs/>
          <w:color w:val="000000" w:themeColor="text1"/>
          <w:sz w:val="32"/>
          <w:szCs w:val="32"/>
          <w:lang w:val="en-US" w:eastAsia="zh-CN"/>
        </w:rPr>
        <w:t xml:space="preserve">  自治县人民政府和浑江流域属地乡（镇）人民政府，应当合理设置生活垃圾收集、转运、处置设施，推进生活垃圾的分类收集和减量化、无害化、资源化处理，防止垃圾污染浑江流域水体。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第二十二条</w:t>
      </w:r>
      <w:r>
        <w:rPr>
          <w:rFonts w:hint="eastAsia" w:ascii="仿宋" w:hAnsi="仿宋" w:eastAsia="仿宋" w:cs="仿宋"/>
          <w:b w:val="0"/>
          <w:bCs/>
          <w:color w:val="000000" w:themeColor="text1"/>
          <w:sz w:val="32"/>
          <w:szCs w:val="32"/>
          <w:lang w:val="en-US" w:eastAsia="zh-CN"/>
        </w:rPr>
        <w:t xml:space="preserve">  自治县人民政府农业农村主管部门，应当指导农业生产者科学、合理使用化肥和农药，组织推广生物防治、物理防治、测土配方施肥技术和使用高效低毒低残留农药，控制化肥和农药过量使用，防止造成水体污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第二十三条</w:t>
      </w:r>
      <w:r>
        <w:rPr>
          <w:rFonts w:hint="eastAsia" w:ascii="仿宋" w:hAnsi="仿宋" w:eastAsia="仿宋" w:cs="仿宋"/>
          <w:b w:val="0"/>
          <w:bCs/>
          <w:color w:val="000000" w:themeColor="text1"/>
          <w:sz w:val="32"/>
          <w:szCs w:val="32"/>
          <w:lang w:val="en-US" w:eastAsia="zh-CN"/>
        </w:rPr>
        <w:t>　在浑江流域内从事旅游和其他用途的船舶，以及河道管理范围内的水电站，应当按照有关规定配备符合国家标准的防污设备和器材，及时回收残油、废油，禁止排入水体，禁止向水体倾倒垃圾。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第二十四条</w:t>
      </w:r>
      <w:r>
        <w:rPr>
          <w:rFonts w:hint="eastAsia" w:ascii="仿宋" w:hAnsi="仿宋" w:eastAsia="仿宋" w:cs="仿宋"/>
          <w:b w:val="0"/>
          <w:bCs/>
          <w:color w:val="000000" w:themeColor="text1"/>
          <w:sz w:val="32"/>
          <w:szCs w:val="32"/>
          <w:lang w:val="en-US" w:eastAsia="zh-CN"/>
        </w:rPr>
        <w:t xml:space="preserve">  浑江流域河道管理范围内禁止下列行为：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（一）倾倒、填埋、堆放柴草和生活垃圾；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（二）侵占河道从事餐饮、设置游乐设施；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（三）向指定场所以外的农村转移、倾倒、填埋建筑垃圾、工业废弃物、医疗废弃物等；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（四）丢弃农药、农药包装物或者清洗施药器械；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（五）丢弃、堆放、填埋畜禽粪便和畜禽尸体；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（六）法律法规规定的其他禁止行为。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 xml:space="preserve">第二十五条  </w:t>
      </w:r>
      <w:r>
        <w:rPr>
          <w:rFonts w:hint="eastAsia" w:ascii="仿宋" w:hAnsi="仿宋" w:eastAsia="仿宋" w:cs="仿宋"/>
          <w:b w:val="0"/>
          <w:bCs/>
          <w:color w:val="000000" w:themeColor="text1"/>
          <w:sz w:val="32"/>
          <w:szCs w:val="32"/>
          <w:lang w:val="en-US" w:eastAsia="zh-CN"/>
        </w:rPr>
        <w:t>违反本条例规定的，由生态环境主管部门或有关部门给予处罚：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（一）违反第十二条第二款规定，侵占自然湿地的，责令限期恢复原状，并按照所破坏面积处每平方米50元的罚款。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二)违反第十五条第二款规定，擅自引进外来水生物种的，由渔业主管部门没收引进的外来物种，并处5万元的罚款；擅自放生外来水生物种的，由渔业主管部门责令限期捕回、找回放生的外来水生物种，并处1万元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（三）违反第十九条规定的，责令限期改正，并处5万元的罚款；逾期不改正的，责令停产整治。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（四）违反第十七条、第二十三条、第二十四条第一项及第三项规定的，依照《中华人民共和国环境保护法》《中华人民共和国水污染防治法》等</w:t>
      </w:r>
      <w:r>
        <w:rPr>
          <w:rFonts w:hint="eastAsia" w:ascii="仿宋" w:hAnsi="仿宋" w:eastAsia="仿宋" w:cs="仿宋"/>
          <w:sz w:val="32"/>
          <w:szCs w:val="32"/>
          <w:lang w:eastAsia="zh-CN"/>
        </w:rPr>
        <w:t>法律法规</w:t>
      </w:r>
      <w:r>
        <w:rPr>
          <w:rFonts w:hint="eastAsia" w:ascii="仿宋" w:hAnsi="仿宋" w:eastAsia="仿宋" w:cs="仿宋"/>
          <w:sz w:val="32"/>
          <w:szCs w:val="32"/>
        </w:rPr>
        <w:t>规定进行处罚。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（五）违反第二十四条第二项规定侵占河道从事餐饮、设置游乐设施的，由水行政主管部门责令停止违法行为，拆除设施或者采取其他补救措施，并处5万元的罚款。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六）违反第二十四条第四项规定，在河道管理范围内丢弃农药及农药包装物或者清洗施药器械的，由农业农村主管部门责令改正，农药使用者为单位的，处5万元的罚款，农药使用者为个人的，处5000元的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（七）违反第二十四条第五项规定，在河道管理范围内丢弃、填埋畜禽尸体的，责令限期治理，并处2万元的罚款；情节严重的，处5万元的罚款。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 xml:space="preserve">第二十六条  </w:t>
      </w:r>
      <w:r>
        <w:rPr>
          <w:rFonts w:hint="eastAsia" w:ascii="仿宋" w:hAnsi="仿宋" w:eastAsia="仿宋" w:cs="仿宋"/>
          <w:b w:val="0"/>
          <w:bCs/>
          <w:color w:val="000000" w:themeColor="text1"/>
          <w:sz w:val="32"/>
          <w:szCs w:val="32"/>
          <w:lang w:val="en-US" w:eastAsia="zh-CN"/>
        </w:rPr>
        <w:t>国家机关工作人员在浑江流域水环境保护工作中滥用职权、玩忽职守、徇私舞弊构成犯罪的，依法追究刑事责任；尚不构成犯罪的，依法给予行政处分。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第二十七条</w:t>
      </w:r>
      <w:r>
        <w:rPr>
          <w:rFonts w:hint="eastAsia" w:ascii="仿宋" w:hAnsi="仿宋" w:eastAsia="仿宋" w:cs="仿宋"/>
          <w:b w:val="0"/>
          <w:bCs/>
          <w:color w:val="000000" w:themeColor="text1"/>
          <w:sz w:val="32"/>
          <w:szCs w:val="32"/>
          <w:lang w:val="en-US" w:eastAsia="zh-CN"/>
        </w:rPr>
        <w:t xml:space="preserve">  浑江流域内的饮用水水源保护区、自然保护区等保护和管理，依照国家有关法律、法规和地方法规执行。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sz w:val="32"/>
          <w:szCs w:val="32"/>
          <w:lang w:val="en-US" w:eastAsia="zh-CN"/>
        </w:rPr>
      </w:pPr>
      <w:r>
        <w:rPr>
          <w:rFonts w:hint="eastAsia" w:ascii="黑体" w:hAnsi="黑体" w:eastAsia="黑体" w:cs="黑体"/>
          <w:b w:val="0"/>
          <w:bCs/>
          <w:color w:val="000000" w:themeColor="text1"/>
          <w:sz w:val="32"/>
          <w:szCs w:val="32"/>
          <w:lang w:val="en-US" w:eastAsia="zh-CN"/>
        </w:rPr>
        <w:t>第二十八条</w:t>
      </w:r>
      <w:r>
        <w:rPr>
          <w:rFonts w:hint="eastAsia" w:ascii="仿宋" w:hAnsi="仿宋" w:eastAsia="仿宋" w:cs="仿宋"/>
          <w:b w:val="0"/>
          <w:bCs/>
          <w:color w:val="000000" w:themeColor="text1"/>
          <w:sz w:val="32"/>
          <w:szCs w:val="32"/>
          <w:lang w:val="en-US" w:eastAsia="zh-CN"/>
        </w:rPr>
        <w:t xml:space="preserve">  本条例自2021年9月15日起施行。</w:t>
      </w:r>
    </w:p>
    <w:sectPr>
      <w:headerReference r:id="rId3" w:type="default"/>
      <w:footerReference r:id="rId4" w:type="default"/>
      <w:pgSz w:w="11850" w:h="16783"/>
      <w:pgMar w:top="2098"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2972"/>
    <w:rsid w:val="00016280"/>
    <w:rsid w:val="00024BC2"/>
    <w:rsid w:val="000764AD"/>
    <w:rsid w:val="000B4AC9"/>
    <w:rsid w:val="000D3AAC"/>
    <w:rsid w:val="00116D4E"/>
    <w:rsid w:val="00141A1A"/>
    <w:rsid w:val="00163107"/>
    <w:rsid w:val="00165943"/>
    <w:rsid w:val="001A2533"/>
    <w:rsid w:val="001B0444"/>
    <w:rsid w:val="002C64B1"/>
    <w:rsid w:val="002D3547"/>
    <w:rsid w:val="00303FB1"/>
    <w:rsid w:val="003774E8"/>
    <w:rsid w:val="003974A7"/>
    <w:rsid w:val="003D7578"/>
    <w:rsid w:val="003E59C4"/>
    <w:rsid w:val="00453F7F"/>
    <w:rsid w:val="0046733C"/>
    <w:rsid w:val="00470607"/>
    <w:rsid w:val="004B332A"/>
    <w:rsid w:val="004B454F"/>
    <w:rsid w:val="004F4EAF"/>
    <w:rsid w:val="0055484A"/>
    <w:rsid w:val="00570C33"/>
    <w:rsid w:val="005F330E"/>
    <w:rsid w:val="00616BD8"/>
    <w:rsid w:val="00654686"/>
    <w:rsid w:val="00691FD8"/>
    <w:rsid w:val="006F413D"/>
    <w:rsid w:val="007979E1"/>
    <w:rsid w:val="007D16C8"/>
    <w:rsid w:val="007D5B8D"/>
    <w:rsid w:val="007F5318"/>
    <w:rsid w:val="008004D3"/>
    <w:rsid w:val="0086252A"/>
    <w:rsid w:val="00897106"/>
    <w:rsid w:val="008F0732"/>
    <w:rsid w:val="00953BCB"/>
    <w:rsid w:val="009562CF"/>
    <w:rsid w:val="00970844"/>
    <w:rsid w:val="009C3E87"/>
    <w:rsid w:val="009E0898"/>
    <w:rsid w:val="009F2972"/>
    <w:rsid w:val="00A407BD"/>
    <w:rsid w:val="00A60721"/>
    <w:rsid w:val="00AD6730"/>
    <w:rsid w:val="00B65905"/>
    <w:rsid w:val="00BA1C30"/>
    <w:rsid w:val="00C169C2"/>
    <w:rsid w:val="00C37FE0"/>
    <w:rsid w:val="00C56309"/>
    <w:rsid w:val="00C77FBC"/>
    <w:rsid w:val="00CE0AB0"/>
    <w:rsid w:val="00E51B60"/>
    <w:rsid w:val="00E62BAB"/>
    <w:rsid w:val="00E8501C"/>
    <w:rsid w:val="00EB0391"/>
    <w:rsid w:val="00F07A5D"/>
    <w:rsid w:val="00F226F1"/>
    <w:rsid w:val="00F57BDD"/>
    <w:rsid w:val="00F8640F"/>
    <w:rsid w:val="00FA5B12"/>
    <w:rsid w:val="00FB6683"/>
    <w:rsid w:val="00FD2C20"/>
    <w:rsid w:val="00FF6AC1"/>
    <w:rsid w:val="010C6C9D"/>
    <w:rsid w:val="022F5978"/>
    <w:rsid w:val="053D781A"/>
    <w:rsid w:val="05FE09CD"/>
    <w:rsid w:val="096137EC"/>
    <w:rsid w:val="0C6A36CF"/>
    <w:rsid w:val="0D111908"/>
    <w:rsid w:val="0D94354D"/>
    <w:rsid w:val="10146F07"/>
    <w:rsid w:val="12172481"/>
    <w:rsid w:val="12727525"/>
    <w:rsid w:val="13D57DFC"/>
    <w:rsid w:val="143B455F"/>
    <w:rsid w:val="14C0473C"/>
    <w:rsid w:val="15483984"/>
    <w:rsid w:val="15AA0F3F"/>
    <w:rsid w:val="18686042"/>
    <w:rsid w:val="192668D8"/>
    <w:rsid w:val="194868EE"/>
    <w:rsid w:val="19A90DF7"/>
    <w:rsid w:val="1B4E6AF9"/>
    <w:rsid w:val="1C94290F"/>
    <w:rsid w:val="1EDB63CE"/>
    <w:rsid w:val="1F053A2E"/>
    <w:rsid w:val="1FEC46AC"/>
    <w:rsid w:val="217A7854"/>
    <w:rsid w:val="26561AA8"/>
    <w:rsid w:val="285440CC"/>
    <w:rsid w:val="28C1273E"/>
    <w:rsid w:val="2C640558"/>
    <w:rsid w:val="2F431EE2"/>
    <w:rsid w:val="2F7268C6"/>
    <w:rsid w:val="312338C3"/>
    <w:rsid w:val="317A6271"/>
    <w:rsid w:val="346F2658"/>
    <w:rsid w:val="3553446A"/>
    <w:rsid w:val="3A074503"/>
    <w:rsid w:val="3A97579C"/>
    <w:rsid w:val="3B644279"/>
    <w:rsid w:val="3CB95F57"/>
    <w:rsid w:val="40125B69"/>
    <w:rsid w:val="408E0653"/>
    <w:rsid w:val="41136F9B"/>
    <w:rsid w:val="415676B8"/>
    <w:rsid w:val="442D4E33"/>
    <w:rsid w:val="44844848"/>
    <w:rsid w:val="4500395B"/>
    <w:rsid w:val="46060F34"/>
    <w:rsid w:val="47EA188A"/>
    <w:rsid w:val="4AA6278F"/>
    <w:rsid w:val="4ACC0A1E"/>
    <w:rsid w:val="4AF71CEF"/>
    <w:rsid w:val="4CBF560F"/>
    <w:rsid w:val="4D33757B"/>
    <w:rsid w:val="4DD94D86"/>
    <w:rsid w:val="51AA04BD"/>
    <w:rsid w:val="53D22C12"/>
    <w:rsid w:val="55174D48"/>
    <w:rsid w:val="560D3204"/>
    <w:rsid w:val="562A0821"/>
    <w:rsid w:val="5A182C3E"/>
    <w:rsid w:val="5A7B01CB"/>
    <w:rsid w:val="5A952572"/>
    <w:rsid w:val="5BD06F63"/>
    <w:rsid w:val="5F4D6548"/>
    <w:rsid w:val="62004B3C"/>
    <w:rsid w:val="65C7762B"/>
    <w:rsid w:val="67730FBE"/>
    <w:rsid w:val="67F96396"/>
    <w:rsid w:val="68596429"/>
    <w:rsid w:val="687502CC"/>
    <w:rsid w:val="698178CE"/>
    <w:rsid w:val="6A187866"/>
    <w:rsid w:val="6DEE6190"/>
    <w:rsid w:val="70C7334F"/>
    <w:rsid w:val="71853A7E"/>
    <w:rsid w:val="73CF4313"/>
    <w:rsid w:val="73E16F9D"/>
    <w:rsid w:val="74AE5AE5"/>
    <w:rsid w:val="765A65F1"/>
    <w:rsid w:val="769705A7"/>
    <w:rsid w:val="77F858A0"/>
    <w:rsid w:val="78D95C4A"/>
    <w:rsid w:val="7A33506C"/>
    <w:rsid w:val="7B18399B"/>
    <w:rsid w:val="7DE66AA1"/>
    <w:rsid w:val="7E387BB3"/>
    <w:rsid w:val="E72AC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448</Words>
  <Characters>2559</Characters>
  <Lines>21</Lines>
  <Paragraphs>6</Paragraphs>
  <TotalTime>1</TotalTime>
  <ScaleCrop>false</ScaleCrop>
  <LinksUpToDate>false</LinksUpToDate>
  <CharactersWithSpaces>3001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2019-04-15T10:15:00Z</dcterms:created>
  <dc:creator>Windows 用户</dc:creator>
  <cp:lastModifiedBy>lnrd</cp:lastModifiedBy>
  <cp:lastPrinted>2021-08-18T09:40:00Z</cp:lastPrinted>
  <dcterms:modified xsi:type="dcterms:W3CDTF">2021-09-29T14:38:49Z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739888EE48C743B4BD373CE63DCA12C0</vt:lpwstr>
  </property>
</Properties>
</file>