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6" w:lineRule="exact"/>
        <w:jc w:val="center"/>
        <w:rPr>
          <w:rFonts w:asciiTheme="minorEastAsia" w:hAnsiTheme="minorEastAsia" w:eastAsiaTheme="minorEastAsia"/>
          <w:bCs/>
          <w:color w:val="FF0000"/>
        </w:rPr>
      </w:pPr>
    </w:p>
    <w:p>
      <w:pPr>
        <w:adjustRightInd w:val="0"/>
        <w:spacing w:line="576" w:lineRule="exact"/>
        <w:jc w:val="center"/>
        <w:rPr>
          <w:rFonts w:asciiTheme="minorEastAsia" w:hAnsiTheme="minorEastAsia" w:eastAsiaTheme="minorEastAsia"/>
          <w:bCs/>
          <w:color w:val="FF0000"/>
        </w:rPr>
      </w:pPr>
    </w:p>
    <w:p>
      <w:pPr>
        <w:adjustRightInd w:val="0"/>
        <w:spacing w:line="576" w:lineRule="exact"/>
        <w:jc w:val="center"/>
        <w:rPr>
          <w:rFonts w:asciiTheme="minorEastAsia" w:hAnsiTheme="minorEastAsia" w:eastAsiaTheme="minorEastAsia"/>
          <w:bCs/>
          <w:sz w:val="44"/>
          <w:szCs w:val="44"/>
        </w:rPr>
      </w:pPr>
      <w:r>
        <w:rPr>
          <w:rFonts w:hint="eastAsia" w:cs="方正小标宋简体" w:asciiTheme="minorEastAsia" w:hAnsiTheme="minorEastAsia" w:eastAsiaTheme="minorEastAsia"/>
          <w:bCs/>
          <w:spacing w:val="-13"/>
          <w:sz w:val="44"/>
          <w:szCs w:val="44"/>
        </w:rPr>
        <w:t>伊春市文明行为促进条例</w:t>
      </w:r>
    </w:p>
    <w:p>
      <w:pPr>
        <w:adjustRightInd w:val="0"/>
        <w:spacing w:line="576" w:lineRule="exact"/>
        <w:ind w:firstLine="654" w:firstLineChars="200"/>
        <w:rPr>
          <w:rFonts w:asciiTheme="minorEastAsia" w:hAnsiTheme="minorEastAsia" w:eastAsiaTheme="minorEastAsia"/>
          <w:szCs w:val="32"/>
        </w:rPr>
      </w:pPr>
    </w:p>
    <w:p>
      <w:pPr>
        <w:adjustRightInd w:val="0"/>
        <w:spacing w:line="576" w:lineRule="exact"/>
        <w:ind w:left="656" w:right="623"/>
        <w:jc w:val="both"/>
        <w:rPr>
          <w:rFonts w:ascii="楷体_GB2312" w:hAnsi="宋体" w:eastAsia="楷体_GB2312"/>
          <w:spacing w:val="-10"/>
          <w:szCs w:val="32"/>
        </w:rPr>
      </w:pPr>
      <w:r>
        <w:rPr>
          <w:rFonts w:hint="eastAsia" w:ascii="楷体_GB2312" w:hAnsi="仿宋" w:eastAsia="楷体_GB2312"/>
          <w:spacing w:val="-10"/>
          <w:szCs w:val="32"/>
        </w:rPr>
        <w:t>（2021年6月28日伊春市第十四届人民代表大会常务委员会第三十四次会议表决通过  2021年8月20日黑龙江省第十三届人民代表大会常务委员会第二十七次会议审查批准）</w:t>
      </w:r>
    </w:p>
    <w:p>
      <w:pPr>
        <w:adjustRightInd w:val="0"/>
        <w:spacing w:line="576" w:lineRule="exact"/>
        <w:jc w:val="center"/>
        <w:rPr>
          <w:rFonts w:asciiTheme="minorEastAsia" w:hAnsiTheme="minorEastAsia" w:eastAsiaTheme="minorEastAsia"/>
          <w:bCs/>
          <w:szCs w:val="32"/>
        </w:rPr>
      </w:pPr>
    </w:p>
    <w:p>
      <w:pPr>
        <w:adjustRightInd w:val="0"/>
        <w:spacing w:line="576" w:lineRule="exact"/>
        <w:jc w:val="center"/>
        <w:rPr>
          <w:bCs/>
          <w:szCs w:val="32"/>
        </w:rPr>
      </w:pPr>
      <w:r>
        <w:rPr>
          <w:rFonts w:hint="eastAsia" w:ascii="黑体" w:hAnsi="黑体" w:eastAsia="黑体" w:cs="黑体"/>
          <w:bCs/>
          <w:spacing w:val="-13"/>
          <w:szCs w:val="32"/>
        </w:rPr>
        <w:t>第一章</w:t>
      </w:r>
      <w:r>
        <w:rPr>
          <w:rFonts w:ascii="黑体" w:hAnsi="黑体" w:eastAsia="黑体" w:cs="黑体"/>
          <w:bCs/>
          <w:szCs w:val="32"/>
        </w:rPr>
        <w:t xml:space="preserve">  </w:t>
      </w:r>
      <w:r>
        <w:rPr>
          <w:rFonts w:hint="eastAsia" w:ascii="黑体" w:hAnsi="黑体" w:eastAsia="黑体" w:cs="黑体"/>
          <w:bCs/>
          <w:spacing w:val="-13"/>
          <w:szCs w:val="32"/>
        </w:rPr>
        <w:t>总　则</w:t>
      </w:r>
    </w:p>
    <w:p>
      <w:pPr>
        <w:adjustRightInd w:val="0"/>
        <w:spacing w:line="576" w:lineRule="exact"/>
        <w:ind w:firstLine="654" w:firstLineChars="200"/>
        <w:rPr>
          <w:rFonts w:asciiTheme="minorEastAsia" w:hAnsiTheme="minorEastAsia" w:eastAsiaTheme="minorEastAsia"/>
          <w:bCs/>
          <w:szCs w:val="32"/>
        </w:rPr>
      </w:pP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第一条</w:t>
      </w:r>
      <w:r>
        <w:rPr>
          <w:rFonts w:hint="eastAsia" w:ascii="仿宋_GB2312" w:hAnsi="仿宋_GB2312" w:eastAsia="仿宋_GB2312" w:cs="仿宋_GB2312"/>
          <w:bCs/>
          <w:spacing w:val="-13"/>
          <w:szCs w:val="32"/>
        </w:rPr>
        <w:t>　为了传承和弘扬中华民族传统美德，引导和规范公民行为，提升公民文明素养和社会文明程度，建设文明伊春，根据有关法律、法规，结合本市实际，制定本条例。</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第二条</w:t>
      </w:r>
      <w:r>
        <w:rPr>
          <w:rFonts w:hint="eastAsia" w:ascii="仿宋_GB2312" w:hAnsi="仿宋_GB2312" w:eastAsia="仿宋_GB2312" w:cs="仿宋_GB2312"/>
          <w:bCs/>
          <w:spacing w:val="-13"/>
          <w:szCs w:val="32"/>
        </w:rPr>
        <w:t>　本市行政区域内文明行为促进工作，适用本条例。</w:t>
      </w:r>
    </w:p>
    <w:p>
      <w:pPr>
        <w:widowControl w:val="0"/>
        <w:adjustRightInd w:val="0"/>
        <w:spacing w:line="576" w:lineRule="exact"/>
        <w:ind w:firstLine="602" w:firstLineChars="200"/>
        <w:jc w:val="both"/>
        <w:rPr>
          <w:rFonts w:ascii="仿宋_GB2312" w:hAnsi="仿宋_GB2312" w:eastAsia="仿宋_GB2312"/>
          <w:bCs/>
          <w:szCs w:val="32"/>
        </w:rPr>
      </w:pPr>
      <w:r>
        <w:rPr>
          <w:rFonts w:hint="eastAsia" w:eastAsia="仿宋_GB2312" w:cs="仿宋_GB2312"/>
          <w:bCs/>
          <w:spacing w:val="-13"/>
          <w:szCs w:val="32"/>
        </w:rPr>
        <w:t>本条例所称文明行为，是指遵守宪法和法律、法规，坚持社会主义核心价值体系，符合社会主义道德规范，维护公序良俗，引领社会风尚，推动社会进步的行为。</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第三条</w:t>
      </w:r>
      <w:r>
        <w:rPr>
          <w:rFonts w:hint="eastAsia" w:ascii="仿宋_GB2312" w:hAnsi="仿宋_GB2312" w:eastAsia="仿宋_GB2312" w:cs="仿宋_GB2312"/>
          <w:bCs/>
          <w:spacing w:val="-13"/>
          <w:szCs w:val="32"/>
        </w:rPr>
        <w:t>　文明行为促进工作应当坚持党的领导、以人民为中心，坚持法治与德治相结合、规范与倡导相结合、政府主导与社会参与相结合、重点治理与统筹推进相结合的原则。</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第四条</w:t>
      </w:r>
      <w:r>
        <w:rPr>
          <w:rFonts w:hint="eastAsia" w:ascii="仿宋_GB2312" w:hAnsi="仿宋_GB2312" w:eastAsia="仿宋_GB2312" w:cs="仿宋_GB2312"/>
          <w:bCs/>
          <w:spacing w:val="-13"/>
          <w:szCs w:val="32"/>
        </w:rPr>
        <w:t>　市、县（市）区精神文明建设指导委员会统一领导、统筹推进本行政区域内的文明行为促进工作。</w:t>
      </w:r>
    </w:p>
    <w:p>
      <w:pPr>
        <w:widowControl w:val="0"/>
        <w:adjustRightInd w:val="0"/>
        <w:spacing w:line="576" w:lineRule="exact"/>
        <w:ind w:firstLine="602" w:firstLineChars="200"/>
        <w:jc w:val="both"/>
        <w:rPr>
          <w:rFonts w:ascii="仿宋_GB2312" w:hAnsi="仿宋_GB2312" w:eastAsia="仿宋_GB2312"/>
          <w:bCs/>
          <w:szCs w:val="32"/>
        </w:rPr>
      </w:pPr>
      <w:r>
        <w:rPr>
          <w:rFonts w:hint="eastAsia" w:eastAsia="仿宋_GB2312" w:cs="仿宋_GB2312"/>
          <w:bCs/>
          <w:spacing w:val="-13"/>
          <w:szCs w:val="32"/>
        </w:rPr>
        <w:t>市、县（市）区精神文明建设指导委员会办事机构具体负责本行政区域内文明行为促进的日常工作。</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第五条</w:t>
      </w:r>
      <w:r>
        <w:rPr>
          <w:rFonts w:hint="eastAsia" w:ascii="仿宋_GB2312" w:hAnsi="仿宋_GB2312" w:eastAsia="仿宋_GB2312" w:cs="仿宋_GB2312"/>
          <w:bCs/>
          <w:spacing w:val="-13"/>
          <w:szCs w:val="32"/>
        </w:rPr>
        <w:t>　市、县（市）区人民政府应当将文明行为促进工作纳入国民经济和社会发展规划，推动文明行为促进工作与经济社会协调发展。</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市、县（市）区人民政府有关部门应当按照各自职责做好文明行为促进工作。</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乡（镇）人民政府、街道办事处应当做好本辖区内的文明行为促进工作。</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村（居）民委员会应当加强文明行为的宣传、教育和引导，协助做好文明行为促进工作。</w:t>
      </w:r>
    </w:p>
    <w:p>
      <w:pPr>
        <w:adjustRightInd w:val="0"/>
        <w:spacing w:line="576" w:lineRule="exact"/>
        <w:ind w:firstLine="652"/>
        <w:jc w:val="both"/>
        <w:rPr>
          <w:rFonts w:ascii="仿宋_GB2312" w:hAnsi="仿宋_GB2312" w:eastAsia="仿宋_GB2312" w:cs="仿宋_GB2312"/>
          <w:bCs/>
          <w:snapToGrid w:val="0"/>
          <w:spacing w:val="-20"/>
          <w:szCs w:val="32"/>
        </w:rPr>
      </w:pPr>
      <w:r>
        <w:rPr>
          <w:rFonts w:hint="eastAsia" w:ascii="仿宋_GB2312" w:hAnsi="仿宋_GB2312" w:eastAsia="仿宋_GB2312" w:cs="仿宋_GB2312"/>
          <w:bCs/>
          <w:snapToGrid w:val="0"/>
          <w:spacing w:val="-20"/>
          <w:szCs w:val="32"/>
        </w:rPr>
        <w:t>森工集团及其林业局公司等单位应当做好文明行为促进工作。</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第六条</w:t>
      </w:r>
      <w:r>
        <w:rPr>
          <w:rFonts w:hint="eastAsia" w:ascii="仿宋_GB2312" w:hAnsi="仿宋_GB2312" w:eastAsia="仿宋_GB2312" w:cs="仿宋_GB2312"/>
          <w:bCs/>
          <w:spacing w:val="-13"/>
          <w:szCs w:val="32"/>
        </w:rPr>
        <w:t>　文明行为促进是全社会的共同责任。</w:t>
      </w:r>
    </w:p>
    <w:p>
      <w:pPr>
        <w:adjustRightInd w:val="0"/>
        <w:spacing w:line="576" w:lineRule="exact"/>
        <w:ind w:firstLine="602" w:firstLineChars="200"/>
        <w:jc w:val="both"/>
        <w:rPr>
          <w:bCs/>
          <w:szCs w:val="32"/>
        </w:rPr>
      </w:pPr>
      <w:r>
        <w:rPr>
          <w:rFonts w:hint="eastAsia" w:ascii="仿宋_GB2312" w:hAnsi="仿宋_GB2312" w:eastAsia="仿宋_GB2312" w:cs="仿宋_GB2312"/>
          <w:bCs/>
          <w:spacing w:val="-13"/>
          <w:szCs w:val="32"/>
        </w:rPr>
        <w:t>单位和个人应当积极参与文明行为促进工作。</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共产党员、共青团员、国家工作人员、人大代表、政协委员、教育工作者、社会公众人物等应当在文明行为促进工作中发挥表率作用。</w:t>
      </w:r>
    </w:p>
    <w:p>
      <w:pPr>
        <w:adjustRightInd w:val="0"/>
        <w:spacing w:line="576" w:lineRule="exact"/>
        <w:ind w:left="328"/>
        <w:jc w:val="both"/>
        <w:rPr>
          <w:rFonts w:ascii="黑体" w:hAnsi="黑体" w:eastAsia="黑体"/>
          <w:bCs/>
          <w:szCs w:val="32"/>
        </w:rPr>
      </w:pPr>
    </w:p>
    <w:p>
      <w:pPr>
        <w:adjustRightInd w:val="0"/>
        <w:spacing w:line="576" w:lineRule="exact"/>
        <w:ind w:left="328"/>
        <w:jc w:val="center"/>
        <w:rPr>
          <w:rFonts w:ascii="黑体" w:hAnsi="黑体" w:eastAsia="黑体"/>
          <w:bCs/>
          <w:szCs w:val="32"/>
        </w:rPr>
      </w:pPr>
      <w:r>
        <w:rPr>
          <w:rFonts w:hint="eastAsia" w:ascii="黑体" w:hAnsi="黑体" w:eastAsia="黑体" w:cs="黑体"/>
          <w:bCs/>
          <w:spacing w:val="-13"/>
          <w:szCs w:val="32"/>
        </w:rPr>
        <w:t>第二章　规范与倡导</w:t>
      </w:r>
    </w:p>
    <w:p>
      <w:pPr>
        <w:widowControl w:val="0"/>
        <w:adjustRightInd w:val="0"/>
        <w:spacing w:line="576" w:lineRule="exact"/>
        <w:jc w:val="center"/>
        <w:rPr>
          <w:rFonts w:ascii="黑体" w:hAnsi="黑体" w:eastAsia="黑体"/>
          <w:bCs/>
          <w:szCs w:val="32"/>
        </w:rPr>
      </w:pP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第七条</w:t>
      </w:r>
      <w:r>
        <w:rPr>
          <w:rFonts w:hint="eastAsia" w:ascii="仿宋_GB2312" w:hAnsi="仿宋_GB2312" w:eastAsia="仿宋_GB2312" w:cs="仿宋_GB2312"/>
          <w:bCs/>
          <w:spacing w:val="-13"/>
          <w:szCs w:val="32"/>
        </w:rPr>
        <w:t>　公民应当遵守法律、法规，遵守社会公德，严守职业道德，恪守家庭美德，提升个人品德，强化社会责任意识、规则意识、诚信意识、奉献意识。</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第八条</w:t>
      </w:r>
      <w:r>
        <w:rPr>
          <w:rFonts w:hint="eastAsia" w:ascii="仿宋_GB2312" w:hAnsi="仿宋_GB2312" w:eastAsia="仿宋_GB2312" w:cs="仿宋_GB2312"/>
          <w:bCs/>
          <w:spacing w:val="-13"/>
          <w:szCs w:val="32"/>
        </w:rPr>
        <w:t>　倡导下列文明行为：</w:t>
      </w:r>
    </w:p>
    <w:p>
      <w:pPr>
        <w:keepNext w:val="0"/>
        <w:keepLines w:val="0"/>
        <w:pageBreakBefore w:val="0"/>
        <w:widowControl w:val="0"/>
        <w:numPr>
          <w:ilvl w:val="0"/>
          <w:numId w:val="1"/>
        </w:numPr>
        <w:kinsoku/>
        <w:wordWrap/>
        <w:overflowPunct/>
        <w:topLinePunct w:val="0"/>
        <w:autoSpaceDE/>
        <w:autoSpaceDN/>
        <w:bidi w:val="0"/>
        <w:adjustRightInd w:val="0"/>
        <w:snapToGrid/>
        <w:spacing w:line="576" w:lineRule="exact"/>
        <w:ind w:left="52" w:leftChars="0"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热爱家乡，宣传家乡，做文明有礼伊春人；</w:t>
      </w:r>
    </w:p>
    <w:p>
      <w:pPr>
        <w:keepNext w:val="0"/>
        <w:keepLines w:val="0"/>
        <w:pageBreakBefore w:val="0"/>
        <w:widowControl w:val="0"/>
        <w:numPr>
          <w:ilvl w:val="0"/>
          <w:numId w:val="2"/>
        </w:numPr>
        <w:kinsoku/>
        <w:wordWrap/>
        <w:overflowPunct/>
        <w:topLinePunct w:val="0"/>
        <w:autoSpaceDE/>
        <w:autoSpaceDN/>
        <w:bidi w:val="0"/>
        <w:adjustRightInd w:val="0"/>
        <w:snapToGrid/>
        <w:spacing w:line="576" w:lineRule="exact"/>
        <w:ind w:left="0" w:leftChars="0" w:firstLine="654" w:firstLineChars="200"/>
        <w:textAlignment w:val="auto"/>
        <w:rPr>
          <w:rFonts w:ascii="仿宋_GB2312" w:hAnsi="仿宋_GB2312" w:eastAsia="仿宋_GB2312"/>
          <w:bCs/>
          <w:szCs w:val="32"/>
        </w:rPr>
      </w:pPr>
      <w:r>
        <w:rPr>
          <w:rFonts w:hint="eastAsia" w:eastAsia="仿宋_GB2312" w:cs="仿宋_GB2312"/>
          <w:bCs/>
          <w:szCs w:val="32"/>
        </w:rPr>
        <w:t>注重家庭家教家风，互相尊重，孝老爱亲，邻里和睦；</w:t>
      </w:r>
    </w:p>
    <w:p>
      <w:pPr>
        <w:keepNext w:val="0"/>
        <w:keepLines w:val="0"/>
        <w:pageBreakBefore w:val="0"/>
        <w:widowControl w:val="0"/>
        <w:numPr>
          <w:ilvl w:val="0"/>
          <w:numId w:val="2"/>
        </w:numPr>
        <w:kinsoku/>
        <w:wordWrap/>
        <w:overflowPunct/>
        <w:topLinePunct w:val="0"/>
        <w:autoSpaceDE/>
        <w:autoSpaceDN/>
        <w:bidi w:val="0"/>
        <w:adjustRightInd w:val="0"/>
        <w:snapToGrid/>
        <w:spacing w:line="576" w:lineRule="exact"/>
        <w:ind w:left="0" w:leftChars="0"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尊师重教，立德树人，培育优良校风、教风、学风；</w:t>
      </w:r>
    </w:p>
    <w:p>
      <w:pPr>
        <w:keepNext w:val="0"/>
        <w:keepLines w:val="0"/>
        <w:pageBreakBefore w:val="0"/>
        <w:numPr>
          <w:ilvl w:val="0"/>
          <w:numId w:val="2"/>
        </w:numPr>
        <w:kinsoku/>
        <w:wordWrap/>
        <w:overflowPunct/>
        <w:topLinePunct w:val="0"/>
        <w:autoSpaceDE/>
        <w:autoSpaceDN/>
        <w:bidi w:val="0"/>
        <w:adjustRightInd w:val="0"/>
        <w:snapToGrid/>
        <w:spacing w:line="576" w:lineRule="exact"/>
        <w:ind w:left="0" w:leftChars="0"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全民阅读，文明阅读，终身学习；</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（五）文明行医，文明就医，维护和谐医疗秩序；</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（六）文明办网、文明上网、诚信用网，不造谣、不信谣、不传谣，抵制不良信息和网络暴力；</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（七）诚信经营，公平竞争，货真价实，礼貌待客；</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（八）遵守公共礼仪，举止得当，着装得体；</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（九）使用文明礼貌用语，不争吵谩骂，不说脏话；</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（十）移风易俗，破除婚丧祭贺等方面的陈规陋习；</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（十一）鼓励分餐，使用公勺公筷，文明用餐，适量点餐，践行“光盘行动”；</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（十二）不吸烟、不劝烟，不酗酒、不劝酒；</w:t>
      </w:r>
    </w:p>
    <w:p>
      <w:pPr>
        <w:keepNext w:val="0"/>
        <w:keepLines w:val="0"/>
        <w:pageBreakBefore w:val="0"/>
        <w:widowControl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（十三）参与生活垃圾分类，减少生活垃圾生成；</w:t>
      </w:r>
    </w:p>
    <w:p>
      <w:pPr>
        <w:keepNext w:val="0"/>
        <w:keepLines w:val="0"/>
        <w:pageBreakBefore w:val="0"/>
        <w:widowControl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（十四）践行健康环保生活方式，低碳出行，减少污染，节约资源；</w:t>
      </w:r>
    </w:p>
    <w:p>
      <w:pPr>
        <w:keepNext w:val="0"/>
        <w:keepLines w:val="0"/>
        <w:pageBreakBefore w:val="0"/>
        <w:widowControl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（十五）乘坐公共交通工具，有序上下，主动为老弱病残孕让座，不影响驾驶员安全驾驶；</w:t>
      </w:r>
    </w:p>
    <w:p>
      <w:pPr>
        <w:keepNext w:val="0"/>
        <w:keepLines w:val="0"/>
        <w:pageBreakBefore w:val="0"/>
        <w:widowControl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（十六）咳嗽、打喷嚏时遮掩口鼻，患有传染性呼吸道疾病时佩戴口罩；</w:t>
      </w:r>
    </w:p>
    <w:p>
      <w:pPr>
        <w:keepNext w:val="0"/>
        <w:keepLines w:val="0"/>
        <w:pageBreakBefore w:val="0"/>
        <w:kinsoku/>
        <w:wordWrap/>
        <w:overflowPunct/>
        <w:topLinePunct w:val="0"/>
        <w:autoSpaceDE/>
        <w:autoSpaceDN/>
        <w:bidi w:val="0"/>
        <w:adjustRightInd w:val="0"/>
        <w:snapToGrid/>
        <w:spacing w:line="576" w:lineRule="exact"/>
        <w:ind w:firstLine="602" w:firstLineChars="200"/>
        <w:jc w:val="both"/>
        <w:textAlignment w:val="auto"/>
        <w:rPr>
          <w:rFonts w:ascii="仿宋_GB2312" w:hAnsi="仿宋_GB2312" w:eastAsia="仿宋_GB2312"/>
          <w:bCs/>
          <w:szCs w:val="32"/>
        </w:rPr>
      </w:pPr>
      <w:r>
        <w:rPr>
          <w:rFonts w:hint="eastAsia" w:ascii="仿宋_GB2312" w:hAnsi="仿宋_GB2312" w:eastAsia="仿宋_GB2312" w:cs="仿宋_GB2312"/>
          <w:bCs/>
          <w:spacing w:val="-13"/>
          <w:szCs w:val="32"/>
        </w:rPr>
        <w:t>（十七）其他文明行为。</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第九条</w:t>
      </w:r>
      <w:r>
        <w:rPr>
          <w:rFonts w:hint="eastAsia" w:ascii="仿宋_GB2312" w:hAnsi="仿宋_GB2312" w:eastAsia="仿宋_GB2312" w:cs="仿宋_GB2312"/>
          <w:bCs/>
          <w:spacing w:val="-13"/>
          <w:szCs w:val="32"/>
        </w:rPr>
        <w:t>　公民应当树立良好的生态价值观，保护野生动植物及其生长环境，维护小兴安岭生态平衡。</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不得违法捕捉、伤害、猎杀依法保护的野生动物。不掠青，合理采摘蓝莓、松塔、榛子、五味子等林、药产品，不得在非采集期用割折枝条的方法采集兴安杜鹃和刺嫩芽等植物。</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自觉遵守森林防火的相关规定。</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第十条</w:t>
      </w:r>
      <w:r>
        <w:rPr>
          <w:rFonts w:hint="eastAsia" w:ascii="仿宋_GB2312" w:hAnsi="仿宋_GB2312" w:eastAsia="仿宋_GB2312" w:cs="仿宋_GB2312"/>
          <w:bCs/>
          <w:spacing w:val="-13"/>
          <w:szCs w:val="32"/>
        </w:rPr>
        <w:t>　公民应当文明健康旅游，遵守景区秩序，保持环境卫生，爱护公共设施。</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本市公民应当增强城市自豪感，礼貌友善对待外地游客，主动介绍本市风土人情及优秀旅游资源，耐心热情回答问询。</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第十一条</w:t>
      </w:r>
      <w:r>
        <w:rPr>
          <w:rFonts w:hint="eastAsia" w:ascii="仿宋_GB2312" w:hAnsi="仿宋_GB2312" w:eastAsia="仿宋_GB2312" w:cs="仿宋_GB2312"/>
          <w:bCs/>
          <w:spacing w:val="-13"/>
          <w:szCs w:val="32"/>
        </w:rPr>
        <w:t>　公民应当增强国家领土意识、国家安全意识，树立国防观念，遵守外事纪律，自觉维护边境地区社会秩序。</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第十二条</w:t>
      </w:r>
      <w:r>
        <w:rPr>
          <w:rFonts w:hint="eastAsia" w:ascii="仿宋_GB2312" w:hAnsi="仿宋_GB2312" w:eastAsia="仿宋_GB2312" w:cs="仿宋_GB2312"/>
          <w:bCs/>
          <w:spacing w:val="-13"/>
          <w:szCs w:val="32"/>
        </w:rPr>
        <w:t>　各民族同胞应当手足相亲、守望相助，共同维护民族团结、国家统一。</w:t>
      </w:r>
    </w:p>
    <w:p>
      <w:pPr>
        <w:widowControl w:val="0"/>
        <w:adjustRightInd w:val="0"/>
        <w:spacing w:line="576" w:lineRule="exact"/>
        <w:ind w:firstLine="670" w:firstLineChars="200"/>
        <w:jc w:val="both"/>
        <w:rPr>
          <w:rFonts w:ascii="仿宋_GB2312" w:hAnsi="仿宋_GB2312" w:eastAsia="仿宋_GB2312"/>
          <w:bCs/>
          <w:szCs w:val="32"/>
        </w:rPr>
      </w:pPr>
      <w:r>
        <w:rPr>
          <w:rFonts w:hint="eastAsia" w:ascii="仿宋_GB2312" w:hAnsi="仿宋_GB2312" w:eastAsia="仿宋_GB2312" w:cs="仿宋_GB2312"/>
          <w:bCs/>
          <w:spacing w:val="4"/>
          <w:szCs w:val="32"/>
        </w:rPr>
        <w:t>重视少数民族优秀传统文化的传承和保护。尊重鄂伦春族、朝鲜族、回族等少数民族的风俗习惯、宗教信仰、礼仪禁忌。</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第十三条</w:t>
      </w:r>
      <w:r>
        <w:rPr>
          <w:rFonts w:hint="eastAsia" w:ascii="仿宋_GB2312" w:hAnsi="仿宋_GB2312" w:eastAsia="仿宋_GB2312" w:cs="仿宋_GB2312"/>
          <w:bCs/>
          <w:spacing w:val="-13"/>
          <w:szCs w:val="32"/>
        </w:rPr>
        <w:t>　弘扬拥军优属、拥政爱民的优良传统，尊重、关爱军人及其家属。</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第十四条</w:t>
      </w:r>
      <w:r>
        <w:rPr>
          <w:rFonts w:hint="eastAsia" w:ascii="仿宋_GB2312" w:hAnsi="仿宋_GB2312" w:eastAsia="仿宋_GB2312" w:cs="仿宋_GB2312"/>
          <w:bCs/>
          <w:spacing w:val="-13"/>
          <w:szCs w:val="32"/>
        </w:rPr>
        <w:t>　鼓励和支持慈善公益事业、志愿服务活动、见义勇为行为、拾金不昧行为。</w:t>
      </w:r>
    </w:p>
    <w:p>
      <w:pPr>
        <w:adjustRightInd w:val="0"/>
        <w:spacing w:line="576" w:lineRule="exact"/>
        <w:ind w:firstLine="654" w:firstLineChars="200"/>
        <w:jc w:val="both"/>
        <w:rPr>
          <w:rFonts w:ascii="仿宋_GB2312" w:hAnsi="仿宋_GB2312" w:eastAsia="仿宋_GB2312" w:cs="仿宋_GB2312"/>
          <w:bCs/>
          <w:szCs w:val="32"/>
        </w:rPr>
      </w:pPr>
      <w:r>
        <w:rPr>
          <w:rFonts w:hint="eastAsia" w:ascii="仿宋_GB2312" w:hAnsi="仿宋_GB2312" w:eastAsia="仿宋_GB2312" w:cs="仿宋_GB2312"/>
          <w:bCs/>
          <w:szCs w:val="32"/>
        </w:rPr>
        <w:t>鼓励无偿献血和捐献人体细胞、人体组织、人体器官、遗体。</w:t>
      </w:r>
    </w:p>
    <w:p>
      <w:pPr>
        <w:adjustRightInd w:val="0"/>
        <w:spacing w:line="576" w:lineRule="exact"/>
        <w:ind w:firstLine="602" w:firstLineChars="200"/>
        <w:jc w:val="both"/>
        <w:rPr>
          <w:rFonts w:ascii="仿宋_GB2312" w:hAnsi="仿宋_GB2312" w:eastAsia="仿宋_GB2312" w:cs="仿宋_GB2312"/>
          <w:bCs/>
          <w:spacing w:val="-13"/>
          <w:szCs w:val="32"/>
        </w:rPr>
      </w:pPr>
      <w:r>
        <w:rPr>
          <w:rFonts w:hint="eastAsia" w:ascii="黑体" w:hAnsi="黑体" w:eastAsia="黑体" w:cs="方正黑体_GBK"/>
          <w:bCs/>
          <w:spacing w:val="-13"/>
          <w:szCs w:val="32"/>
        </w:rPr>
        <w:t>第十五条</w:t>
      </w:r>
      <w:r>
        <w:rPr>
          <w:rFonts w:hint="eastAsia" w:ascii="仿宋_GB2312" w:hAnsi="仿宋_GB2312" w:eastAsia="仿宋_GB2312" w:cs="仿宋_GB2312"/>
          <w:bCs/>
          <w:spacing w:val="-13"/>
          <w:szCs w:val="32"/>
        </w:rPr>
        <w:t>　鼓励国家机关、企事业单位和其他组织设立爱心服务站（点），向社会免费开放停车场所。</w:t>
      </w:r>
    </w:p>
    <w:p>
      <w:pPr>
        <w:adjustRightInd w:val="0"/>
        <w:spacing w:line="576" w:lineRule="exact"/>
        <w:ind w:firstLine="654" w:firstLineChars="200"/>
        <w:jc w:val="both"/>
        <w:rPr>
          <w:bCs/>
          <w:szCs w:val="32"/>
        </w:rPr>
      </w:pPr>
    </w:p>
    <w:p>
      <w:pPr>
        <w:adjustRightInd w:val="0"/>
        <w:spacing w:line="576" w:lineRule="exact"/>
        <w:jc w:val="center"/>
        <w:rPr>
          <w:rFonts w:ascii="黑体" w:hAnsi="黑体" w:eastAsia="黑体"/>
          <w:bCs/>
          <w:szCs w:val="32"/>
        </w:rPr>
      </w:pPr>
      <w:r>
        <w:rPr>
          <w:rFonts w:hint="eastAsia" w:ascii="黑体" w:hAnsi="黑体" w:eastAsia="黑体" w:cs="黑体"/>
          <w:bCs/>
          <w:spacing w:val="-13"/>
          <w:szCs w:val="32"/>
        </w:rPr>
        <w:t>第三章　重点治理</w:t>
      </w:r>
    </w:p>
    <w:p>
      <w:pPr>
        <w:adjustRightInd w:val="0"/>
        <w:spacing w:line="576" w:lineRule="exact"/>
        <w:jc w:val="center"/>
        <w:rPr>
          <w:rFonts w:ascii="NEU-FZ" w:hAnsi="NEU-FZ" w:eastAsia="方正黑体_GBK"/>
          <w:bCs/>
          <w:szCs w:val="32"/>
        </w:rPr>
      </w:pP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第十六条</w:t>
      </w:r>
      <w:r>
        <w:rPr>
          <w:rFonts w:hint="eastAsia" w:ascii="仿宋_GB2312" w:hAnsi="仿宋_GB2312" w:eastAsia="仿宋_GB2312" w:cs="仿宋_GB2312"/>
          <w:bCs/>
          <w:spacing w:val="-13"/>
          <w:szCs w:val="32"/>
        </w:rPr>
        <w:t>　市、县（市）区精神文明建设指导委员会应当建立健全工作联动机制，统筹协调和推动不文明行为治理工作。</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第十七条</w:t>
      </w:r>
      <w:r>
        <w:rPr>
          <w:rFonts w:hint="eastAsia" w:ascii="仿宋_GB2312" w:hAnsi="仿宋_GB2312" w:eastAsia="仿宋_GB2312" w:cs="仿宋_GB2312"/>
          <w:bCs/>
          <w:spacing w:val="-13"/>
          <w:szCs w:val="32"/>
        </w:rPr>
        <w:t>　实行不文明行为重点治理清单制度。</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下列不文明行为列入重点治理清单：</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（一）大声喧哗、使用高音喇叭等产生噪声干扰他人；</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（二）不按顺序排队；</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（三）随地吐痰、便溺，乱扔废弃物；</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（四）在禁烟场所吸烟；</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（五）毁坏公共设施，损坏树木花草，踩踏公共绿地；</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（六）在树木、建筑物、构筑物、市政设施或者地面上乱喷涂、乱刻画、乱张贴；</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（七）占用公共空间乱设摊、乱搭建、乱吊挂、乱堆放；</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（八）高空抛物；</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（九）乱埋乱葬；</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（十）机动车随意变道、加塞，不礼让行人，行经积水路段不低速通行，向车外抛掷物品，违规停放；</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（十一）出租车拒载、抬价、抢行；</w:t>
      </w:r>
    </w:p>
    <w:p>
      <w:pPr>
        <w:adjustRightInd w:val="0"/>
        <w:spacing w:line="576" w:lineRule="exact"/>
        <w:ind w:firstLine="602" w:firstLineChars="200"/>
        <w:jc w:val="both"/>
        <w:rPr>
          <w:rFonts w:ascii="仿宋_GB2312" w:hAnsi="仿宋_GB2312" w:eastAsia="仿宋_GB2312"/>
          <w:bCs/>
          <w:szCs w:val="32"/>
        </w:rPr>
      </w:pPr>
      <w:r>
        <w:rPr>
          <w:rFonts w:hint="eastAsia" w:eastAsia="仿宋_GB2312" w:cs="仿宋_GB2312"/>
          <w:bCs/>
          <w:spacing w:val="-13"/>
          <w:szCs w:val="32"/>
        </w:rPr>
        <w:t>（十二）非机动车不在非机动车道内行驶、逆行、闯红灯、越线停车，乱停乱放；</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（十三）行人乱穿马路、闯红灯、跨越交通护栏；</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（十四）使用网络传播暴力、淫秽信息，编造虚假信息扰乱公共秩序；</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（十五）携犬出户不系犬绳、不即时清理排泄物、乘坐公共汽车。</w:t>
      </w:r>
    </w:p>
    <w:p>
      <w:pPr>
        <w:adjustRightInd w:val="0"/>
        <w:spacing w:line="576" w:lineRule="exact"/>
        <w:ind w:firstLine="654" w:firstLineChars="200"/>
        <w:jc w:val="both"/>
        <w:rPr>
          <w:rFonts w:ascii="仿宋_GB2312" w:hAnsi="仿宋_GB2312" w:eastAsia="仿宋_GB2312"/>
          <w:bCs/>
          <w:szCs w:val="32"/>
        </w:rPr>
      </w:pPr>
      <w:r>
        <w:rPr>
          <w:rFonts w:hint="eastAsia" w:eastAsia="仿宋_GB2312" w:cs="仿宋_GB2312"/>
          <w:bCs/>
          <w:szCs w:val="32"/>
        </w:rPr>
        <w:t>市、县（市）区精神文明建设指导委员会应当对重点治理工作进行安排部署、检查考核，适时调整重点治理清单并向社会公布。</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第十八条</w:t>
      </w:r>
      <w:r>
        <w:rPr>
          <w:rFonts w:hint="eastAsia" w:ascii="仿宋_GB2312" w:hAnsi="仿宋_GB2312" w:eastAsia="仿宋_GB2312" w:cs="仿宋_GB2312"/>
          <w:bCs/>
          <w:spacing w:val="-13"/>
          <w:szCs w:val="32"/>
        </w:rPr>
        <w:t>　相关行政执法部门应当对列入重点治理清单的不文明行为，制定治理工作方案并组织实施；涉及多部门执法的，可以开展联合执法。</w:t>
      </w:r>
    </w:p>
    <w:p>
      <w:pPr>
        <w:adjustRightInd w:val="0"/>
        <w:spacing w:line="576" w:lineRule="exact"/>
        <w:ind w:firstLine="654" w:firstLineChars="200"/>
        <w:rPr>
          <w:bCs/>
          <w:szCs w:val="32"/>
        </w:rPr>
      </w:pPr>
    </w:p>
    <w:p>
      <w:pPr>
        <w:widowControl w:val="0"/>
        <w:adjustRightInd w:val="0"/>
        <w:spacing w:line="576" w:lineRule="exact"/>
        <w:jc w:val="center"/>
        <w:rPr>
          <w:rFonts w:ascii="黑体" w:hAnsi="黑体" w:eastAsia="黑体"/>
          <w:bCs/>
          <w:szCs w:val="32"/>
        </w:rPr>
      </w:pPr>
      <w:r>
        <w:rPr>
          <w:rFonts w:hint="eastAsia" w:ascii="黑体" w:hAnsi="黑体" w:eastAsia="黑体" w:cs="黑体"/>
          <w:bCs/>
          <w:spacing w:val="-13"/>
          <w:szCs w:val="32"/>
        </w:rPr>
        <w:t>第四章　保障与监督</w:t>
      </w:r>
    </w:p>
    <w:p>
      <w:pPr>
        <w:widowControl w:val="0"/>
        <w:adjustRightInd w:val="0"/>
        <w:spacing w:line="576" w:lineRule="exact"/>
        <w:jc w:val="center"/>
        <w:rPr>
          <w:rFonts w:ascii="黑体" w:hAnsi="黑体" w:eastAsia="黑体"/>
          <w:bCs/>
          <w:szCs w:val="32"/>
        </w:rPr>
      </w:pP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第十九条</w:t>
      </w:r>
      <w:r>
        <w:rPr>
          <w:rFonts w:hint="eastAsia" w:ascii="仿宋_GB2312" w:hAnsi="仿宋_GB2312" w:eastAsia="仿宋_GB2312" w:cs="仿宋_GB2312"/>
          <w:bCs/>
          <w:spacing w:val="-13"/>
          <w:szCs w:val="32"/>
        </w:rPr>
        <w:t>　文化广电和旅游部门应当加强公共文化服务，弘扬地域民俗文化，规范旅游经营者及其从业人员的经营服务行为，加强文明旅游宣传和旅游市场监督检查。</w:t>
      </w:r>
    </w:p>
    <w:p>
      <w:pPr>
        <w:widowControl w:val="0"/>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教育部门应当将文明行为教育纳入教育、教学内容，加强师德师风建设，提升师生文明素养。</w:t>
      </w:r>
    </w:p>
    <w:p>
      <w:pPr>
        <w:widowControl w:val="0"/>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公安机关交通管理部门应当加强道路交通管理和文明出行宣传，制止不文明交通行为。</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交通运输部门应当加强对公共汽车、出租车等客运经营单位的监督管理，提高从业人员职业道德和文明素养，提升文明服务水平。</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民政部门应当加强志愿服务指导，推进婚俗和殡葬改革，倡导文明新风，制止和纠正不文明行为。</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农业农村部门应当开展弘扬文明乡风宣传教育，倡导移风易俗，破除陈规陋习。</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住房与城乡建设、城市管理、生态环境、自然资源等部门，应当对损害市政基础设施、市容环境、生态环境、城乡绿化等不文明行为加强监管，及时劝阻和制止。</w:t>
      </w:r>
    </w:p>
    <w:p>
      <w:pPr>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卫生健康部门应当加强文明行医、文明就医宣传，加强医务人员职业道德建设，改善医疗服务，畅通医患沟通渠道，维护公平有序就医环境。</w:t>
      </w:r>
    </w:p>
    <w:p>
      <w:pPr>
        <w:widowControl w:val="0"/>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市场监督管理部门应当规范和维护市场秩序，营造诚信经营、公平竞争、文明经营的市场环境，制止损害消费者权益的不文明经营行为。</w:t>
      </w:r>
    </w:p>
    <w:p>
      <w:pPr>
        <w:widowControl w:val="0"/>
        <w:adjustRightInd w:val="0"/>
        <w:spacing w:line="576" w:lineRule="exact"/>
        <w:ind w:firstLine="602" w:firstLineChars="200"/>
        <w:jc w:val="both"/>
        <w:rPr>
          <w:rFonts w:ascii="仿宋_GB2312" w:hAnsi="仿宋_GB2312" w:eastAsia="仿宋_GB2312"/>
          <w:bCs/>
          <w:szCs w:val="32"/>
        </w:rPr>
      </w:pPr>
      <w:r>
        <w:rPr>
          <w:rFonts w:hint="eastAsia" w:eastAsia="仿宋_GB2312" w:cs="仿宋_GB2312"/>
          <w:bCs/>
          <w:spacing w:val="-13"/>
          <w:szCs w:val="32"/>
        </w:rPr>
        <w:t>互联网信息管理部门应当完善互联网信息管理和监督机制，加强对网络不文明行为的监测，推动网络文明建设。</w:t>
      </w:r>
    </w:p>
    <w:p>
      <w:pPr>
        <w:widowControl w:val="0"/>
        <w:adjustRightInd w:val="0"/>
        <w:spacing w:line="576" w:lineRule="exact"/>
        <w:ind w:firstLine="602" w:firstLineChars="200"/>
        <w:jc w:val="both"/>
        <w:rPr>
          <w:rFonts w:ascii="仿宋_GB2312" w:hAnsi="仿宋_GB2312" w:eastAsia="仿宋_GB2312"/>
          <w:bCs/>
          <w:szCs w:val="32"/>
        </w:rPr>
      </w:pPr>
      <w:r>
        <w:rPr>
          <w:rFonts w:hint="eastAsia" w:ascii="仿宋_GB2312" w:hAnsi="仿宋_GB2312" w:eastAsia="仿宋_GB2312" w:cs="仿宋_GB2312"/>
          <w:bCs/>
          <w:spacing w:val="-13"/>
          <w:szCs w:val="32"/>
        </w:rPr>
        <w:t>其他有关部门、人民团体和具有管理公共事务职能的组织应当按照各自职责，做好相应的文明行为促进工作。</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第二十条</w:t>
      </w:r>
      <w:r>
        <w:rPr>
          <w:rFonts w:hint="eastAsia" w:ascii="仿宋_GB2312" w:hAnsi="仿宋_GB2312" w:eastAsia="仿宋_GB2312" w:cs="仿宋_GB2312"/>
          <w:bCs/>
          <w:spacing w:val="-13"/>
          <w:szCs w:val="32"/>
        </w:rPr>
        <w:t>　市、县（市）区精神文明建设指导委员会应当建立和完善相关制度，做好文明城市建设工作，推进文明城市、文明村镇、文明单位、文明家庭、文明校园等创建活动，培育精神文明建设特色品牌。</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第二十一条</w:t>
      </w:r>
      <w:r>
        <w:rPr>
          <w:rFonts w:hint="eastAsia" w:ascii="仿宋_GB2312" w:hAnsi="仿宋_GB2312" w:eastAsia="仿宋_GB2312" w:cs="仿宋_GB2312"/>
          <w:bCs/>
          <w:spacing w:val="-13"/>
          <w:szCs w:val="32"/>
        </w:rPr>
        <w:t>　市、县（市）区人民政府及相关部门应当根据文明行为促进工作需要，加强市政、交通、文体、治安、环卫、公益广告等公共设施的规划、建设和管理。</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第二十二条</w:t>
      </w:r>
      <w:r>
        <w:rPr>
          <w:rFonts w:hint="eastAsia" w:ascii="仿宋_GB2312" w:hAnsi="仿宋_GB2312" w:eastAsia="仿宋_GB2312" w:cs="仿宋_GB2312"/>
          <w:bCs/>
          <w:spacing w:val="-13"/>
          <w:szCs w:val="32"/>
        </w:rPr>
        <w:t>　市、县（市）区人民政府及相关部门应当按照规定推进无障碍环境建设。</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第二十三条</w:t>
      </w:r>
      <w:r>
        <w:rPr>
          <w:rFonts w:hint="eastAsia" w:ascii="仿宋_GB2312" w:hAnsi="仿宋_GB2312" w:eastAsia="仿宋_GB2312" w:cs="仿宋_GB2312"/>
          <w:bCs/>
          <w:spacing w:val="-13"/>
          <w:szCs w:val="32"/>
        </w:rPr>
        <w:t>　公共场所应当按照规定配套建设公共卫生间，设置无障碍厕位；有条件的应当设置第三卫生间。鼓励沿街单位向社会公众免费开放卫生间。</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第二十四条</w:t>
      </w:r>
      <w:r>
        <w:rPr>
          <w:rFonts w:hint="eastAsia" w:ascii="仿宋_GB2312" w:hAnsi="仿宋_GB2312" w:eastAsia="仿宋_GB2312" w:cs="仿宋_GB2312"/>
          <w:bCs/>
          <w:spacing w:val="-13"/>
          <w:szCs w:val="32"/>
        </w:rPr>
        <w:t>　报纸、广播、电视、网络等媒体应当宣传文明行为规范、文明礼仪，报道文明行为先进典型，曝光不文明行为。</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第二十五条</w:t>
      </w:r>
      <w:r>
        <w:rPr>
          <w:rFonts w:hint="eastAsia" w:ascii="仿宋_GB2312" w:hAnsi="仿宋_GB2312" w:eastAsia="仿宋_GB2312" w:cs="仿宋_GB2312"/>
          <w:bCs/>
          <w:spacing w:val="-13"/>
          <w:szCs w:val="32"/>
        </w:rPr>
        <w:t>　市、县（市）区精神文明建设指导委员会应当建立文明行为表彰奖励制度，建立健全道德先进人物的礼遇和困难帮扶制度。</w:t>
      </w:r>
    </w:p>
    <w:p>
      <w:pPr>
        <w:adjustRightInd w:val="0"/>
        <w:spacing w:line="576" w:lineRule="exact"/>
        <w:ind w:firstLine="602" w:firstLineChars="200"/>
        <w:jc w:val="both"/>
        <w:rPr>
          <w:rFonts w:ascii="仿宋_GB2312" w:hAnsi="仿宋_GB2312" w:eastAsia="仿宋_GB2312"/>
          <w:bCs/>
          <w:szCs w:val="32"/>
        </w:rPr>
      </w:pPr>
      <w:r>
        <w:rPr>
          <w:rFonts w:hint="eastAsia" w:eastAsia="仿宋_GB2312" w:cs="仿宋_GB2312"/>
          <w:bCs/>
          <w:spacing w:val="-13"/>
          <w:szCs w:val="32"/>
        </w:rPr>
        <w:t>用人单位应当表彰奖励职工文明行为，在同等条件下优先录用文明行为先进人物。</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第二十六条</w:t>
      </w:r>
      <w:r>
        <w:rPr>
          <w:rFonts w:hint="eastAsia" w:ascii="仿宋_GB2312" w:hAnsi="仿宋_GB2312" w:eastAsia="仿宋_GB2312" w:cs="仿宋_GB2312"/>
          <w:bCs/>
          <w:spacing w:val="-13"/>
          <w:szCs w:val="32"/>
        </w:rPr>
        <w:t>　国家机关、企事业单位、社会团体应当将文明行为内容纳入入职培训、岗位培训。</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第二十七条</w:t>
      </w:r>
      <w:r>
        <w:rPr>
          <w:rFonts w:hint="eastAsia" w:ascii="黑体" w:hAnsi="黑体" w:eastAsia="黑体" w:cs="方正黑体_GBK"/>
          <w:bCs/>
          <w:spacing w:val="-13"/>
          <w:szCs w:val="32"/>
          <w:lang w:val="en-US" w:eastAsia="zh-CN"/>
        </w:rPr>
        <w:t xml:space="preserve"> </w:t>
      </w:r>
      <w:r>
        <w:rPr>
          <w:rFonts w:hint="eastAsia" w:ascii="仿宋_GB2312" w:hAnsi="仿宋_GB2312" w:eastAsia="仿宋_GB2312" w:cs="仿宋_GB2312"/>
          <w:bCs/>
          <w:spacing w:val="-13"/>
          <w:szCs w:val="32"/>
        </w:rPr>
        <w:t>县（市）区应当建设三级新时代文明实践中心、所、站，组织开展文明实践活动。</w:t>
      </w:r>
    </w:p>
    <w:p>
      <w:pPr>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第二十八条</w:t>
      </w:r>
      <w:r>
        <w:rPr>
          <w:rFonts w:hint="eastAsia" w:ascii="仿宋_GB2312" w:hAnsi="仿宋_GB2312" w:eastAsia="仿宋_GB2312" w:cs="仿宋_GB2312"/>
          <w:bCs/>
          <w:spacing w:val="-13"/>
          <w:szCs w:val="32"/>
        </w:rPr>
        <w:t>　单位和个人有权对不文明行为进行劝阻。行为人应当听从劝阻，及时改正不文明行为，不得打击报复劝阻人。</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第二十九条</w:t>
      </w:r>
      <w:r>
        <w:rPr>
          <w:rFonts w:hint="eastAsia" w:ascii="仿宋_GB2312" w:hAnsi="仿宋_GB2312" w:eastAsia="仿宋_GB2312" w:cs="仿宋_GB2312"/>
          <w:bCs/>
          <w:spacing w:val="-13"/>
          <w:szCs w:val="32"/>
        </w:rPr>
        <w:t>　行政执法人员查处不文明行为时，有权要求行为人提供姓名、联系方式等基本信息。行为人拒不提供的，由公安机关协助核查。</w:t>
      </w:r>
    </w:p>
    <w:p>
      <w:pPr>
        <w:adjustRightInd w:val="0"/>
        <w:spacing w:line="576" w:lineRule="exact"/>
        <w:jc w:val="center"/>
        <w:rPr>
          <w:rFonts w:ascii="黑体" w:hAnsi="黑体" w:eastAsia="黑体"/>
          <w:bCs/>
          <w:szCs w:val="32"/>
        </w:rPr>
      </w:pPr>
    </w:p>
    <w:p>
      <w:pPr>
        <w:adjustRightInd w:val="0"/>
        <w:spacing w:line="576" w:lineRule="exact"/>
        <w:jc w:val="center"/>
        <w:rPr>
          <w:rFonts w:ascii="黑体" w:hAnsi="黑体" w:eastAsia="黑体"/>
          <w:bCs/>
          <w:szCs w:val="32"/>
        </w:rPr>
      </w:pPr>
      <w:r>
        <w:rPr>
          <w:rFonts w:hint="eastAsia" w:ascii="黑体" w:hAnsi="黑体" w:eastAsia="黑体" w:cs="黑体"/>
          <w:bCs/>
          <w:spacing w:val="-13"/>
          <w:szCs w:val="32"/>
        </w:rPr>
        <w:t>第五章　法律责任</w:t>
      </w:r>
    </w:p>
    <w:p>
      <w:pPr>
        <w:adjustRightInd w:val="0"/>
        <w:spacing w:line="576" w:lineRule="exact"/>
        <w:jc w:val="center"/>
        <w:rPr>
          <w:rFonts w:ascii="黑体" w:hAnsi="黑体" w:eastAsia="黑体"/>
          <w:bCs/>
          <w:szCs w:val="32"/>
        </w:rPr>
      </w:pPr>
    </w:p>
    <w:p>
      <w:pPr>
        <w:adjustRightInd w:val="0"/>
        <w:spacing w:line="576" w:lineRule="exact"/>
        <w:ind w:firstLine="602" w:firstLineChars="200"/>
        <w:jc w:val="both"/>
        <w:rPr>
          <w:bCs/>
          <w:color w:val="auto"/>
          <w:szCs w:val="32"/>
        </w:rPr>
      </w:pPr>
      <w:r>
        <w:rPr>
          <w:rFonts w:hint="eastAsia" w:ascii="黑体" w:hAnsi="黑体" w:eastAsia="黑体" w:cs="黑体"/>
          <w:bCs/>
          <w:spacing w:val="-13"/>
          <w:szCs w:val="32"/>
        </w:rPr>
        <w:t>第三十条　</w:t>
      </w:r>
      <w:r>
        <w:rPr>
          <w:rFonts w:hint="eastAsia" w:ascii="仿宋_GB2312" w:hAnsi="仿宋_GB2312" w:eastAsia="仿宋_GB2312" w:cs="仿宋_GB2312"/>
          <w:bCs/>
          <w:color w:val="auto"/>
          <w:spacing w:val="-13"/>
          <w:szCs w:val="32"/>
        </w:rPr>
        <w:t>违反本条例规定的不文明行为，依法应当给予行政处罚的，依照《中华人民共和国治安管理处罚法》《中华人民共和国道路交通安全法》《中华人民共和国环境噪声污染防治法》《黑龙江省城市市容和环境卫生管理条例》《伊春市城市综合管理条例》等相关法律、法规规定，由有关行政执法机关给予相应的行政处罚。</w:t>
      </w:r>
    </w:p>
    <w:p>
      <w:pPr>
        <w:widowControl w:val="0"/>
        <w:adjustRightInd w:val="0"/>
        <w:spacing w:line="576" w:lineRule="exact"/>
        <w:ind w:firstLine="602" w:firstLineChars="200"/>
        <w:jc w:val="both"/>
        <w:rPr>
          <w:bCs/>
          <w:szCs w:val="32"/>
        </w:rPr>
      </w:pPr>
      <w:r>
        <w:rPr>
          <w:rFonts w:hint="eastAsia" w:ascii="黑体" w:hAnsi="黑体" w:eastAsia="黑体" w:cs="黑体"/>
          <w:bCs/>
          <w:spacing w:val="-13"/>
          <w:szCs w:val="32"/>
        </w:rPr>
        <w:t>第三十一条　</w:t>
      </w:r>
      <w:r>
        <w:rPr>
          <w:rFonts w:hint="eastAsia" w:ascii="仿宋_GB2312" w:hAnsi="仿宋_GB2312" w:eastAsia="仿宋_GB2312" w:cs="仿宋_GB2312"/>
          <w:bCs/>
          <w:spacing w:val="-13"/>
          <w:szCs w:val="32"/>
        </w:rPr>
        <w:t>违反本条例有关规定，应当受到罚款处罚的，违法行为人申请参加与文明行为促进工作相关的社会服务的，有关行政主管部门可以按照规定安排其参加相应的社会服务；违法行为人参加并完成相应社会服务的，可以从轻处罚。</w:t>
      </w:r>
    </w:p>
    <w:p>
      <w:pPr>
        <w:widowControl w:val="0"/>
        <w:adjustRightInd w:val="0"/>
        <w:spacing w:line="576" w:lineRule="exact"/>
        <w:ind w:firstLine="602" w:firstLineChars="200"/>
        <w:jc w:val="both"/>
        <w:rPr>
          <w:bCs/>
          <w:szCs w:val="32"/>
        </w:rPr>
      </w:pPr>
      <w:r>
        <w:rPr>
          <w:rFonts w:hint="eastAsia" w:ascii="黑体" w:hAnsi="黑体" w:eastAsia="黑体" w:cs="方正黑体_GBK"/>
          <w:bCs/>
          <w:spacing w:val="-13"/>
          <w:szCs w:val="32"/>
        </w:rPr>
        <w:t>第三十二条</w:t>
      </w:r>
      <w:r>
        <w:rPr>
          <w:rFonts w:hint="eastAsia" w:ascii="仿宋_GB2312" w:hAnsi="仿宋_GB2312" w:eastAsia="仿宋_GB2312" w:cs="仿宋_GB2312"/>
          <w:bCs/>
          <w:spacing w:val="-13"/>
          <w:szCs w:val="32"/>
        </w:rPr>
        <w:t>　有关部门在文明行为促进工作中滥用职权、玩忽职守、徇私舞弊的，对直接负责的主管人员和其他直接责任人员依法给予处分。</w:t>
      </w:r>
    </w:p>
    <w:p>
      <w:pPr>
        <w:widowControl w:val="0"/>
        <w:adjustRightInd w:val="0"/>
        <w:spacing w:line="576" w:lineRule="exact"/>
        <w:jc w:val="center"/>
        <w:rPr>
          <w:rFonts w:ascii="黑体" w:hAnsi="黑体" w:eastAsia="黑体"/>
          <w:bCs/>
          <w:szCs w:val="32"/>
        </w:rPr>
      </w:pPr>
    </w:p>
    <w:p>
      <w:pPr>
        <w:adjustRightInd w:val="0"/>
        <w:spacing w:line="576" w:lineRule="exact"/>
        <w:jc w:val="center"/>
        <w:rPr>
          <w:rFonts w:ascii="黑体" w:hAnsi="黑体" w:eastAsia="黑体"/>
          <w:bCs/>
          <w:szCs w:val="32"/>
        </w:rPr>
      </w:pPr>
      <w:r>
        <w:rPr>
          <w:rFonts w:hint="eastAsia" w:ascii="黑体" w:hAnsi="黑体" w:eastAsia="黑体" w:cs="黑体"/>
          <w:bCs/>
          <w:spacing w:val="-13"/>
          <w:szCs w:val="32"/>
        </w:rPr>
        <w:t>第六章</w:t>
      </w:r>
      <w:r>
        <w:rPr>
          <w:rFonts w:ascii="黑体" w:hAnsi="黑体" w:cs="黑体"/>
          <w:bCs/>
          <w:szCs w:val="32"/>
        </w:rPr>
        <w:t xml:space="preserve">  </w:t>
      </w:r>
      <w:r>
        <w:rPr>
          <w:rFonts w:hint="eastAsia" w:ascii="黑体" w:hAnsi="黑体" w:eastAsia="黑体" w:cs="黑体"/>
          <w:bCs/>
          <w:spacing w:val="-13"/>
          <w:szCs w:val="32"/>
        </w:rPr>
        <w:t>附</w:t>
      </w:r>
      <w:r>
        <w:rPr>
          <w:rFonts w:ascii="黑体" w:hAnsi="黑体" w:cs="黑体"/>
          <w:bCs/>
          <w:szCs w:val="32"/>
        </w:rPr>
        <w:t xml:space="preserve">  </w:t>
      </w:r>
      <w:r>
        <w:rPr>
          <w:rFonts w:hint="eastAsia" w:ascii="黑体" w:hAnsi="黑体" w:eastAsia="黑体" w:cs="黑体"/>
          <w:bCs/>
          <w:spacing w:val="-13"/>
          <w:szCs w:val="32"/>
        </w:rPr>
        <w:t>则</w:t>
      </w:r>
    </w:p>
    <w:p>
      <w:pPr>
        <w:adjustRightInd w:val="0"/>
        <w:spacing w:line="576" w:lineRule="exact"/>
        <w:jc w:val="center"/>
        <w:rPr>
          <w:rFonts w:ascii="黑体" w:hAnsi="黑体" w:eastAsia="黑体"/>
          <w:bCs/>
          <w:szCs w:val="32"/>
        </w:rPr>
      </w:pPr>
    </w:p>
    <w:p>
      <w:pPr>
        <w:adjustRightInd w:val="0"/>
        <w:spacing w:line="576" w:lineRule="exact"/>
        <w:ind w:firstLine="602" w:firstLineChars="200"/>
        <w:rPr>
          <w:bCs/>
          <w:szCs w:val="32"/>
        </w:rPr>
      </w:pPr>
      <w:r>
        <w:rPr>
          <w:rFonts w:hint="eastAsia" w:ascii="黑体" w:hAnsi="黑体" w:eastAsia="黑体" w:cs="方正黑体_GBK"/>
          <w:bCs/>
          <w:spacing w:val="-13"/>
          <w:szCs w:val="32"/>
        </w:rPr>
        <w:t>第三</w:t>
      </w:r>
      <w:bookmarkStart w:id="0" w:name="_GoBack"/>
      <w:bookmarkEnd w:id="0"/>
      <w:r>
        <w:rPr>
          <w:rFonts w:hint="eastAsia" w:ascii="黑体" w:hAnsi="黑体" w:eastAsia="黑体" w:cs="方正黑体_GBK"/>
          <w:bCs/>
          <w:spacing w:val="-13"/>
          <w:szCs w:val="32"/>
        </w:rPr>
        <w:t>十三条</w:t>
      </w:r>
      <w:r>
        <w:rPr>
          <w:rFonts w:hint="eastAsia" w:ascii="仿宋_GB2312" w:hAnsi="仿宋_GB2312" w:eastAsia="仿宋_GB2312" w:cs="仿宋_GB2312"/>
          <w:bCs/>
          <w:spacing w:val="-13"/>
          <w:szCs w:val="32"/>
        </w:rPr>
        <w:t>　本条例自</w:t>
      </w:r>
      <w:r>
        <w:rPr>
          <w:rFonts w:hint="eastAsia" w:ascii="仿宋_GB2312" w:hAnsi="仿宋_GB2312" w:eastAsia="仿宋_GB2312" w:cs="仿宋_GB2312"/>
          <w:bCs/>
          <w:szCs w:val="32"/>
        </w:rPr>
        <w:t>2021</w:t>
      </w:r>
      <w:r>
        <w:rPr>
          <w:rFonts w:hint="eastAsia" w:ascii="仿宋_GB2312" w:hAnsi="仿宋_GB2312" w:eastAsia="仿宋_GB2312" w:cs="仿宋_GB2312"/>
          <w:bCs/>
          <w:spacing w:val="-13"/>
          <w:szCs w:val="32"/>
        </w:rPr>
        <w:t>年</w:t>
      </w:r>
      <w:r>
        <w:rPr>
          <w:rFonts w:hint="eastAsia" w:ascii="仿宋_GB2312" w:hAnsi="仿宋_GB2312" w:eastAsia="仿宋_GB2312" w:cs="仿宋_GB2312"/>
          <w:bCs/>
          <w:szCs w:val="32"/>
        </w:rPr>
        <w:t>9</w:t>
      </w:r>
      <w:r>
        <w:rPr>
          <w:rFonts w:hint="eastAsia" w:ascii="仿宋_GB2312" w:hAnsi="仿宋_GB2312" w:eastAsia="仿宋_GB2312" w:cs="仿宋_GB2312"/>
          <w:bCs/>
          <w:spacing w:val="-13"/>
          <w:szCs w:val="32"/>
        </w:rPr>
        <w:t>月</w:t>
      </w:r>
      <w:r>
        <w:rPr>
          <w:rFonts w:hint="eastAsia" w:ascii="仿宋_GB2312" w:hAnsi="仿宋_GB2312" w:eastAsia="仿宋_GB2312" w:cs="仿宋_GB2312"/>
          <w:bCs/>
          <w:szCs w:val="32"/>
        </w:rPr>
        <w:t>1</w:t>
      </w:r>
      <w:r>
        <w:rPr>
          <w:rFonts w:hint="eastAsia" w:ascii="仿宋_GB2312" w:hAnsi="仿宋_GB2312" w:eastAsia="仿宋_GB2312" w:cs="仿宋_GB2312"/>
          <w:bCs/>
          <w:spacing w:val="-13"/>
          <w:szCs w:val="32"/>
        </w:rPr>
        <w:t>日起施行。</w:t>
      </w: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ind w:firstLine="654" w:firstLineChars="200"/>
        <w:rPr>
          <w:bCs/>
        </w:rPr>
      </w:pPr>
    </w:p>
    <w:p>
      <w:pPr>
        <w:tabs>
          <w:tab w:val="left" w:pos="1935"/>
        </w:tabs>
        <w:adjustRightInd w:val="0"/>
        <w:spacing w:line="576" w:lineRule="exact"/>
        <w:rPr>
          <w:bCs/>
          <w:szCs w:val="32"/>
        </w:rPr>
      </w:pPr>
    </w:p>
    <w:sectPr>
      <w:footerReference r:id="rId3" w:type="default"/>
      <w:footerReference r:id="rId4" w:type="even"/>
      <w:type w:val="continuous"/>
      <w:pgSz w:w="11907" w:h="16839"/>
      <w:pgMar w:top="2041" w:right="1531" w:bottom="1588" w:left="1531" w:header="720" w:footer="1531" w:gutter="0"/>
      <w:cols w:space="720" w:num="1"/>
      <w:docGrid w:type="linesAndChars" w:linePitch="600"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5000016" w:usb3="00000000" w:csb0="00040001"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NEU-FZ">
    <w:altName w:val="微软雅黑"/>
    <w:panose1 w:val="00000000000000000000"/>
    <w:charset w:val="86"/>
    <w:family w:val="roman"/>
    <w:pitch w:val="default"/>
    <w:sig w:usb0="00000000" w:usb1="00000000" w:usb2="04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FCF4"/>
    <w:multiLevelType w:val="singleLevel"/>
    <w:tmpl w:val="9669FCF4"/>
    <w:lvl w:ilvl="0" w:tentative="0">
      <w:start w:val="2"/>
      <w:numFmt w:val="chineseCounting"/>
      <w:suff w:val="nothing"/>
      <w:lvlText w:val="（%1）"/>
      <w:lvlJc w:val="left"/>
      <w:pPr>
        <w:ind w:left="0" w:firstLine="420"/>
      </w:pPr>
      <w:rPr>
        <w:rFonts w:hint="eastAsia"/>
      </w:rPr>
    </w:lvl>
  </w:abstractNum>
  <w:abstractNum w:abstractNumId="1">
    <w:nsid w:val="1ECCA279"/>
    <w:multiLevelType w:val="singleLevel"/>
    <w:tmpl w:val="1ECCA279"/>
    <w:lvl w:ilvl="0" w:tentative="0">
      <w:start w:val="1"/>
      <w:numFmt w:val="chineseCounting"/>
      <w:suff w:val="nothing"/>
      <w:lvlText w:val="（%1）"/>
      <w:lvlJc w:val="left"/>
      <w:pPr>
        <w:ind w:left="52"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doNotHyphenateCaps/>
  <w:evenAndOddHeaders w:val="1"/>
  <w:drawingGridHorizontalSpacing w:val="164"/>
  <w:drawingGridVerticalSpacing w:val="300"/>
  <w:displayHorizontalDrawingGridEvery w:val="2"/>
  <w:displayVertic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7C3"/>
    <w:rsid w:val="000120E3"/>
    <w:rsid w:val="00035517"/>
    <w:rsid w:val="00043C97"/>
    <w:rsid w:val="00051636"/>
    <w:rsid w:val="0006373F"/>
    <w:rsid w:val="00072577"/>
    <w:rsid w:val="00075369"/>
    <w:rsid w:val="00076469"/>
    <w:rsid w:val="000B623B"/>
    <w:rsid w:val="000E7A58"/>
    <w:rsid w:val="001302C8"/>
    <w:rsid w:val="0013235C"/>
    <w:rsid w:val="00152ED9"/>
    <w:rsid w:val="00162198"/>
    <w:rsid w:val="00192A72"/>
    <w:rsid w:val="00194E6B"/>
    <w:rsid w:val="001A5F0A"/>
    <w:rsid w:val="001C5ADF"/>
    <w:rsid w:val="002068E6"/>
    <w:rsid w:val="00224F78"/>
    <w:rsid w:val="00292EDB"/>
    <w:rsid w:val="00326389"/>
    <w:rsid w:val="00327CDE"/>
    <w:rsid w:val="00367423"/>
    <w:rsid w:val="00391EE7"/>
    <w:rsid w:val="00395161"/>
    <w:rsid w:val="003B1CD3"/>
    <w:rsid w:val="003F12A1"/>
    <w:rsid w:val="00405CA5"/>
    <w:rsid w:val="00451408"/>
    <w:rsid w:val="00486645"/>
    <w:rsid w:val="004960AF"/>
    <w:rsid w:val="0049669A"/>
    <w:rsid w:val="004A2E85"/>
    <w:rsid w:val="004A2F49"/>
    <w:rsid w:val="004A3019"/>
    <w:rsid w:val="004E23AB"/>
    <w:rsid w:val="00510EA2"/>
    <w:rsid w:val="005156A7"/>
    <w:rsid w:val="005243A2"/>
    <w:rsid w:val="00535272"/>
    <w:rsid w:val="005518C6"/>
    <w:rsid w:val="00562501"/>
    <w:rsid w:val="0058507E"/>
    <w:rsid w:val="005B0CFB"/>
    <w:rsid w:val="005B4E1A"/>
    <w:rsid w:val="005F127C"/>
    <w:rsid w:val="006B5988"/>
    <w:rsid w:val="006C537E"/>
    <w:rsid w:val="006E28A5"/>
    <w:rsid w:val="006F18B5"/>
    <w:rsid w:val="00707BEF"/>
    <w:rsid w:val="00720332"/>
    <w:rsid w:val="007D2960"/>
    <w:rsid w:val="0081363D"/>
    <w:rsid w:val="00821849"/>
    <w:rsid w:val="008231F4"/>
    <w:rsid w:val="00843D10"/>
    <w:rsid w:val="008568AE"/>
    <w:rsid w:val="00866132"/>
    <w:rsid w:val="008B167D"/>
    <w:rsid w:val="008B3DDC"/>
    <w:rsid w:val="008C5460"/>
    <w:rsid w:val="009217BC"/>
    <w:rsid w:val="00960619"/>
    <w:rsid w:val="00971BFB"/>
    <w:rsid w:val="00994548"/>
    <w:rsid w:val="009D7281"/>
    <w:rsid w:val="009E069B"/>
    <w:rsid w:val="009F201A"/>
    <w:rsid w:val="009F4C47"/>
    <w:rsid w:val="009F63B0"/>
    <w:rsid w:val="00A2392B"/>
    <w:rsid w:val="00A33F40"/>
    <w:rsid w:val="00A82D2E"/>
    <w:rsid w:val="00AB315B"/>
    <w:rsid w:val="00AF742D"/>
    <w:rsid w:val="00B308B8"/>
    <w:rsid w:val="00B82B68"/>
    <w:rsid w:val="00BA1E36"/>
    <w:rsid w:val="00BE4D8D"/>
    <w:rsid w:val="00BF17CB"/>
    <w:rsid w:val="00C47140"/>
    <w:rsid w:val="00C53D3A"/>
    <w:rsid w:val="00C6302E"/>
    <w:rsid w:val="00C82289"/>
    <w:rsid w:val="00CB1D13"/>
    <w:rsid w:val="00CB51E1"/>
    <w:rsid w:val="00CF239E"/>
    <w:rsid w:val="00D01BC0"/>
    <w:rsid w:val="00D17B8F"/>
    <w:rsid w:val="00D31246"/>
    <w:rsid w:val="00D3685C"/>
    <w:rsid w:val="00D81827"/>
    <w:rsid w:val="00D82439"/>
    <w:rsid w:val="00D940E1"/>
    <w:rsid w:val="00E05032"/>
    <w:rsid w:val="00E336E3"/>
    <w:rsid w:val="00E4771B"/>
    <w:rsid w:val="00E5427A"/>
    <w:rsid w:val="00E629AC"/>
    <w:rsid w:val="00E93DC0"/>
    <w:rsid w:val="00EB4538"/>
    <w:rsid w:val="00EC78B0"/>
    <w:rsid w:val="00EE181E"/>
    <w:rsid w:val="00F043AD"/>
    <w:rsid w:val="00F2499B"/>
    <w:rsid w:val="00F511E2"/>
    <w:rsid w:val="00F733B9"/>
    <w:rsid w:val="00F81A0E"/>
    <w:rsid w:val="00FA57C3"/>
    <w:rsid w:val="00FC1B38"/>
    <w:rsid w:val="00FC4922"/>
    <w:rsid w:val="7C904A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NEU-BZ"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99"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32"/>
      <w:szCs w:val="22"/>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8"/>
    <w:semiHidden/>
    <w:uiPriority w:val="99"/>
  </w:style>
  <w:style w:type="paragraph" w:styleId="3">
    <w:name w:val="Balloon Text"/>
    <w:basedOn w:val="4"/>
    <w:link w:val="17"/>
    <w:semiHidden/>
    <w:uiPriority w:val="99"/>
    <w:rPr>
      <w:rFonts w:ascii="Tahoma" w:hAnsi="Tahoma" w:cs="Tahoma"/>
      <w:sz w:val="16"/>
      <w:szCs w:val="16"/>
    </w:rPr>
  </w:style>
  <w:style w:type="paragraph" w:customStyle="1" w:styleId="4">
    <w:name w:val="样式"/>
    <w:uiPriority w:val="99"/>
    <w:rPr>
      <w:rFonts w:ascii="Calibri" w:hAnsi="NEU-BZ" w:eastAsia="宋体" w:cs="Calibri"/>
      <w:sz w:val="22"/>
      <w:szCs w:val="22"/>
      <w:lang w:val="en-US" w:eastAsia="zh-CN" w:bidi="ar-SA"/>
    </w:rPr>
  </w:style>
  <w:style w:type="paragraph" w:styleId="5">
    <w:name w:val="footer"/>
    <w:basedOn w:val="4"/>
    <w:link w:val="15"/>
    <w:uiPriority w:val="99"/>
    <w:pPr>
      <w:tabs>
        <w:tab w:val="center" w:pos="4513"/>
        <w:tab w:val="right" w:pos="9026"/>
      </w:tabs>
    </w:pPr>
  </w:style>
  <w:style w:type="paragraph" w:styleId="6">
    <w:name w:val="header"/>
    <w:basedOn w:val="4"/>
    <w:link w:val="14"/>
    <w:uiPriority w:val="99"/>
    <w:pPr>
      <w:tabs>
        <w:tab w:val="center" w:pos="4513"/>
        <w:tab w:val="right" w:pos="9026"/>
      </w:tabs>
    </w:pPr>
  </w:style>
  <w:style w:type="paragraph" w:styleId="7">
    <w:name w:val="footnote text"/>
    <w:basedOn w:val="4"/>
    <w:link w:val="23"/>
    <w:semiHidden/>
    <w:uiPriority w:val="99"/>
    <w:pPr>
      <w:snapToGrid w:val="0"/>
    </w:pPr>
    <w:rPr>
      <w:sz w:val="18"/>
      <w:szCs w:val="18"/>
    </w:rPr>
  </w:style>
  <w:style w:type="table" w:styleId="9">
    <w:name w:val="Table Grid"/>
    <w:basedOn w:val="8"/>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0">
    <w:name w:val="Light Shading Accent 3"/>
    <w:basedOn w:val="8"/>
    <w:qFormat/>
    <w:uiPriority w:val="99"/>
    <w:rPr>
      <w:rFonts w:cs="Calibri"/>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12">
    <w:name w:val="footnote reference"/>
    <w:basedOn w:val="13"/>
    <w:semiHidden/>
    <w:uiPriority w:val="99"/>
    <w:rPr>
      <w:vertAlign w:val="superscript"/>
    </w:rPr>
  </w:style>
  <w:style w:type="character" w:customStyle="1" w:styleId="13">
    <w:name w:val="样式1"/>
    <w:semiHidden/>
    <w:uiPriority w:val="99"/>
  </w:style>
  <w:style w:type="character" w:customStyle="1" w:styleId="14">
    <w:name w:val="页眉 Char"/>
    <w:basedOn w:val="13"/>
    <w:link w:val="6"/>
    <w:locked/>
    <w:uiPriority w:val="99"/>
  </w:style>
  <w:style w:type="character" w:customStyle="1" w:styleId="15">
    <w:name w:val="页脚 Char"/>
    <w:basedOn w:val="13"/>
    <w:link w:val="5"/>
    <w:locked/>
    <w:uiPriority w:val="99"/>
  </w:style>
  <w:style w:type="paragraph" w:styleId="16">
    <w:name w:val="List Paragraph"/>
    <w:basedOn w:val="4"/>
    <w:qFormat/>
    <w:uiPriority w:val="99"/>
    <w:pPr>
      <w:ind w:left="720"/>
    </w:pPr>
  </w:style>
  <w:style w:type="character" w:customStyle="1" w:styleId="17">
    <w:name w:val="批注框文本 Char"/>
    <w:basedOn w:val="13"/>
    <w:link w:val="3"/>
    <w:semiHidden/>
    <w:locked/>
    <w:uiPriority w:val="99"/>
    <w:rPr>
      <w:rFonts w:ascii="Tahoma" w:hAnsi="Tahoma" w:cs="Tahoma"/>
      <w:sz w:val="16"/>
      <w:szCs w:val="16"/>
    </w:rPr>
  </w:style>
  <w:style w:type="paragraph" w:styleId="18">
    <w:name w:val="Quote"/>
    <w:basedOn w:val="4"/>
    <w:next w:val="4"/>
    <w:link w:val="19"/>
    <w:qFormat/>
    <w:uiPriority w:val="99"/>
    <w:rPr>
      <w:i/>
      <w:iCs/>
      <w:color w:val="000000"/>
    </w:rPr>
  </w:style>
  <w:style w:type="character" w:customStyle="1" w:styleId="19">
    <w:name w:val="引用 Char"/>
    <w:basedOn w:val="13"/>
    <w:link w:val="18"/>
    <w:locked/>
    <w:uiPriority w:val="99"/>
    <w:rPr>
      <w:i/>
      <w:iCs/>
      <w:color w:val="000000"/>
    </w:rPr>
  </w:style>
  <w:style w:type="paragraph" w:customStyle="1" w:styleId="20">
    <w:name w:val="MTDisplayEquation"/>
    <w:basedOn w:val="4"/>
    <w:next w:val="4"/>
    <w:link w:val="21"/>
    <w:uiPriority w:val="99"/>
    <w:pPr>
      <w:tabs>
        <w:tab w:val="center" w:pos="4160"/>
        <w:tab w:val="right" w:pos="8300"/>
      </w:tabs>
    </w:pPr>
  </w:style>
  <w:style w:type="character" w:customStyle="1" w:styleId="21">
    <w:name w:val="MTDisplayEquation Char"/>
    <w:basedOn w:val="13"/>
    <w:link w:val="20"/>
    <w:locked/>
    <w:uiPriority w:val="99"/>
  </w:style>
  <w:style w:type="character" w:customStyle="1" w:styleId="22">
    <w:name w:val="Footnote Text Char"/>
    <w:semiHidden/>
    <w:locked/>
    <w:uiPriority w:val="99"/>
    <w:rPr>
      <w:sz w:val="18"/>
      <w:szCs w:val="18"/>
    </w:rPr>
  </w:style>
  <w:style w:type="character" w:customStyle="1" w:styleId="23">
    <w:name w:val="脚注文本 Char"/>
    <w:basedOn w:val="11"/>
    <w:link w:val="7"/>
    <w:semiHidden/>
    <w:locked/>
    <w:uiPriority w:val="99"/>
    <w:rPr>
      <w:rFonts w:ascii="Times New Roman" w:hAnsi="Times New Roman" w:cs="Times New Roman"/>
      <w:kern w:val="0"/>
      <w:sz w:val="18"/>
      <w:szCs w:val="18"/>
    </w:rPr>
  </w:style>
  <w:style w:type="paragraph" w:customStyle="1" w:styleId="24">
    <w:name w:val="[基本段落]"/>
    <w:basedOn w:val="25"/>
    <w:uiPriority w:val="99"/>
  </w:style>
  <w:style w:type="paragraph" w:customStyle="1" w:styleId="25">
    <w:name w:val="[系统文字]"/>
    <w:uiPriority w:val="99"/>
    <w:rPr>
      <w:rFonts w:ascii="NEU-BZ" w:hAnsi="NEU-BZ" w:eastAsia="方正书宋_GBK" w:cs="NEU-BZ"/>
      <w:color w:val="000000"/>
      <w:sz w:val="21"/>
      <w:szCs w:val="21"/>
      <w:lang w:val="en-US" w:eastAsia="zh-CN" w:bidi="ar-SA"/>
    </w:rPr>
  </w:style>
  <w:style w:type="character" w:customStyle="1" w:styleId="26">
    <w:name w:val="NormalCharacter"/>
    <w:uiPriority w:val="99"/>
    <w:rPr>
      <w:rFonts w:ascii="Times New Roman" w:hAnsi="Times New Roman" w:cs="Times New Roman"/>
      <w:sz w:val="32"/>
      <w:szCs w:val="32"/>
    </w:rPr>
  </w:style>
  <w:style w:type="character" w:customStyle="1" w:styleId="27">
    <w:name w:val="16"/>
    <w:basedOn w:val="11"/>
    <w:qFormat/>
    <w:uiPriority w:val="99"/>
    <w:rPr>
      <w:rFonts w:ascii="Times New Roman" w:hAnsi="Times New Roman" w:cs="Times New Roman"/>
      <w:sz w:val="32"/>
      <w:szCs w:val="32"/>
    </w:rPr>
  </w:style>
  <w:style w:type="character" w:customStyle="1" w:styleId="28">
    <w:name w:val="日期 Char"/>
    <w:basedOn w:val="11"/>
    <w:link w:val="2"/>
    <w:semiHidden/>
    <w:locked/>
    <w:uiPriority w:val="99"/>
    <w:rPr>
      <w:rFonts w:ascii="Times New Roman" w:hAnsi="Times New Roman" w:eastAsia="宋体" w:cs="Times New Roman"/>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10</Pages>
  <Words>598</Words>
  <Characters>3415</Characters>
  <Lines>28</Lines>
  <Paragraphs>8</Paragraphs>
  <TotalTime>535</TotalTime>
  <ScaleCrop>false</ScaleCrop>
  <LinksUpToDate>false</LinksUpToDate>
  <CharactersWithSpaces>4005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mxy</dc:creator>
  <cp:lastModifiedBy>PC399</cp:lastModifiedBy>
  <cp:lastPrinted>2021-08-23T05:38:00Z</cp:lastPrinted>
  <dcterms:modified xsi:type="dcterms:W3CDTF">2021-09-29T08:10:21Z</dcterms:modified>
  <dc:title>Medical NOte</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97DF3F109598478FA0003601454D182F</vt:lpwstr>
  </property>
</Properties>
</file>