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11C" w:rsidRDefault="0066211C" w:rsidP="00A43141">
      <w:pPr>
        <w:spacing w:line="576" w:lineRule="exact"/>
        <w:jc w:val="center"/>
        <w:rPr>
          <w:rFonts w:ascii="方正仿宋_GBK" w:eastAsia="仿宋_GB2312" w:hAnsi="方正仿宋_GBK" w:cs="方正仿宋_GBK"/>
          <w:bCs/>
          <w:sz w:val="40"/>
          <w:szCs w:val="40"/>
        </w:rPr>
      </w:pPr>
    </w:p>
    <w:p w:rsidR="00FE23F4" w:rsidRPr="008E6665" w:rsidRDefault="00FE23F4" w:rsidP="00A43141">
      <w:pPr>
        <w:pStyle w:val="a0"/>
        <w:spacing w:after="0" w:line="576" w:lineRule="exact"/>
        <w:rPr>
          <w:rFonts w:ascii="宋体" w:hAnsi="宋体"/>
        </w:rPr>
      </w:pPr>
    </w:p>
    <w:p w:rsidR="0066211C" w:rsidRPr="008E6665" w:rsidRDefault="00B403C7" w:rsidP="00A43141">
      <w:pPr>
        <w:spacing w:line="576" w:lineRule="exact"/>
        <w:jc w:val="center"/>
        <w:rPr>
          <w:rFonts w:ascii="宋体" w:hAnsi="宋体"/>
          <w:bCs/>
          <w:sz w:val="44"/>
          <w:szCs w:val="44"/>
        </w:rPr>
      </w:pPr>
      <w:r w:rsidRPr="008E6665">
        <w:rPr>
          <w:rFonts w:ascii="宋体" w:hAnsi="宋体" w:hint="eastAsia"/>
          <w:bCs/>
          <w:sz w:val="44"/>
          <w:szCs w:val="44"/>
        </w:rPr>
        <w:t>成都市科技创新中心建设条例</w:t>
      </w:r>
    </w:p>
    <w:p w:rsidR="0066211C" w:rsidRDefault="0066211C" w:rsidP="00A43141">
      <w:pPr>
        <w:spacing w:line="576" w:lineRule="exact"/>
        <w:ind w:firstLineChars="200" w:firstLine="640"/>
        <w:rPr>
          <w:rFonts w:ascii="楷体_GB2312" w:eastAsia="楷体_GB2312"/>
          <w:bCs/>
          <w:sz w:val="32"/>
          <w:szCs w:val="32"/>
        </w:rPr>
      </w:pPr>
    </w:p>
    <w:p w:rsidR="0066211C" w:rsidRDefault="00B403C7" w:rsidP="00E862F6">
      <w:pPr>
        <w:widowControl/>
        <w:spacing w:line="576" w:lineRule="exact"/>
        <w:ind w:leftChars="300" w:left="630" w:rightChars="300" w:right="630"/>
        <w:jc w:val="left"/>
        <w:rPr>
          <w:rFonts w:ascii="楷体_GB2312" w:eastAsia="楷体_GB2312"/>
          <w:bCs/>
          <w:sz w:val="32"/>
          <w:szCs w:val="32"/>
        </w:rPr>
      </w:pPr>
      <w:bookmarkStart w:id="0" w:name="_GoBack"/>
      <w:r>
        <w:rPr>
          <w:rFonts w:ascii="楷体_GB2312" w:eastAsia="楷体_GB2312" w:hint="eastAsia"/>
          <w:bCs/>
          <w:sz w:val="32"/>
          <w:szCs w:val="32"/>
        </w:rPr>
        <w:t>（2021年6月18日成都市</w:t>
      </w:r>
      <w:r w:rsidRPr="00A015BF">
        <w:rPr>
          <w:rFonts w:ascii="楷体_GB2312" w:eastAsia="楷体_GB2312" w:hint="eastAsia"/>
          <w:bCs/>
          <w:sz w:val="32"/>
          <w:szCs w:val="32"/>
        </w:rPr>
        <w:t>第十七届人民代表大会常务委员会第二十七次会议通过  2021年7月</w:t>
      </w:r>
      <w:r w:rsidRPr="00A015BF">
        <w:rPr>
          <w:rFonts w:ascii="楷体_GB2312" w:eastAsia="楷体_GB2312"/>
          <w:bCs/>
          <w:sz w:val="32"/>
          <w:szCs w:val="32"/>
        </w:rPr>
        <w:t>29</w:t>
      </w:r>
      <w:r w:rsidRPr="00A015BF">
        <w:rPr>
          <w:rFonts w:ascii="楷体_GB2312" w:eastAsia="楷体_GB2312" w:hint="eastAsia"/>
          <w:bCs/>
          <w:sz w:val="32"/>
          <w:szCs w:val="32"/>
        </w:rPr>
        <w:t>日四川省第十三届人民代表大会常务委员会第</w:t>
      </w:r>
      <w:r w:rsidRPr="00A015BF">
        <w:rPr>
          <w:rFonts w:ascii="楷体_GB2312" w:eastAsia="楷体_GB2312"/>
          <w:bCs/>
          <w:sz w:val="32"/>
          <w:szCs w:val="32"/>
        </w:rPr>
        <w:t>二十九</w:t>
      </w:r>
      <w:r w:rsidRPr="00A015BF">
        <w:rPr>
          <w:rFonts w:ascii="楷体_GB2312" w:eastAsia="楷体_GB2312" w:hint="eastAsia"/>
          <w:bCs/>
          <w:sz w:val="32"/>
          <w:szCs w:val="32"/>
        </w:rPr>
        <w:t>次会议批准）</w:t>
      </w:r>
    </w:p>
    <w:bookmarkEnd w:id="0"/>
    <w:p w:rsidR="00A43141" w:rsidRPr="00A43141" w:rsidRDefault="00A43141" w:rsidP="00A43141">
      <w:pPr>
        <w:pStyle w:val="a0"/>
        <w:spacing w:line="576" w:lineRule="exact"/>
      </w:pPr>
    </w:p>
    <w:p w:rsidR="0066211C" w:rsidRPr="00A015BF" w:rsidRDefault="00B403C7" w:rsidP="00A43141">
      <w:pPr>
        <w:spacing w:line="576" w:lineRule="exact"/>
        <w:jc w:val="center"/>
        <w:rPr>
          <w:rFonts w:ascii="楷体_GB2312" w:eastAsia="楷体_GB2312" w:hAnsi="方正楷体简体" w:cs="方正楷体简体"/>
          <w:sz w:val="32"/>
          <w:szCs w:val="32"/>
        </w:rPr>
      </w:pPr>
      <w:r w:rsidRPr="00A015BF">
        <w:rPr>
          <w:rFonts w:ascii="楷体_GB2312" w:eastAsia="楷体_GB2312" w:hAnsi="方正楷体简体" w:cs="方正楷体简体" w:hint="eastAsia"/>
          <w:sz w:val="32"/>
          <w:szCs w:val="32"/>
        </w:rPr>
        <w:t>目  录</w:t>
      </w:r>
    </w:p>
    <w:p w:rsidR="0066211C" w:rsidRPr="00A015BF" w:rsidRDefault="00B403C7" w:rsidP="00A43141">
      <w:pPr>
        <w:spacing w:line="576" w:lineRule="exact"/>
        <w:ind w:firstLineChars="200" w:firstLine="640"/>
        <w:jc w:val="left"/>
        <w:rPr>
          <w:rFonts w:ascii="楷体_GB2312" w:eastAsia="楷体_GB2312" w:hAnsi="方正楷体简体" w:cs="方正楷体简体"/>
          <w:sz w:val="32"/>
          <w:szCs w:val="32"/>
        </w:rPr>
      </w:pPr>
      <w:r w:rsidRPr="00A015BF">
        <w:rPr>
          <w:rFonts w:ascii="楷体_GB2312" w:eastAsia="楷体_GB2312" w:hAnsi="方正楷体简体" w:cs="方正楷体简体" w:hint="eastAsia"/>
          <w:sz w:val="32"/>
          <w:szCs w:val="32"/>
        </w:rPr>
        <w:t xml:space="preserve">第一章  </w:t>
      </w:r>
      <w:r w:rsidRPr="00A015BF">
        <w:rPr>
          <w:rFonts w:ascii="楷体_GB2312" w:eastAsia="楷体_GB2312" w:hAnsi="方正楷体简体" w:cs="方正楷体简体" w:hint="eastAsia"/>
          <w:sz w:val="32"/>
          <w:szCs w:val="32"/>
          <w:lang w:val="en"/>
        </w:rPr>
        <w:t xml:space="preserve">  </w:t>
      </w:r>
      <w:r w:rsidRPr="00A015BF">
        <w:rPr>
          <w:rFonts w:ascii="楷体_GB2312" w:eastAsia="楷体_GB2312" w:hAnsi="方正楷体简体" w:cs="方正楷体简体" w:hint="eastAsia"/>
          <w:sz w:val="32"/>
          <w:szCs w:val="32"/>
        </w:rPr>
        <w:t>总  则</w:t>
      </w:r>
    </w:p>
    <w:p w:rsidR="0066211C" w:rsidRPr="00A015BF" w:rsidRDefault="00B403C7" w:rsidP="00A43141">
      <w:pPr>
        <w:spacing w:line="576" w:lineRule="exact"/>
        <w:ind w:firstLineChars="200" w:firstLine="640"/>
        <w:jc w:val="left"/>
        <w:rPr>
          <w:rFonts w:ascii="楷体_GB2312" w:eastAsia="楷体_GB2312" w:hAnsi="方正楷体简体" w:cs="方正楷体简体"/>
          <w:sz w:val="32"/>
          <w:szCs w:val="32"/>
        </w:rPr>
      </w:pPr>
      <w:r w:rsidRPr="00A015BF">
        <w:rPr>
          <w:rFonts w:ascii="楷体_GB2312" w:eastAsia="楷体_GB2312" w:hAnsi="方正楷体简体" w:cs="方正楷体简体" w:hint="eastAsia"/>
          <w:sz w:val="32"/>
          <w:szCs w:val="32"/>
        </w:rPr>
        <w:t xml:space="preserve">第二章  </w:t>
      </w:r>
      <w:r w:rsidRPr="00A015BF">
        <w:rPr>
          <w:rFonts w:ascii="楷体_GB2312" w:eastAsia="楷体_GB2312" w:hAnsi="方正楷体简体" w:cs="方正楷体简体" w:hint="eastAsia"/>
          <w:sz w:val="32"/>
          <w:szCs w:val="32"/>
          <w:lang w:val="en"/>
        </w:rPr>
        <w:t xml:space="preserve">  </w:t>
      </w:r>
      <w:r w:rsidRPr="00A015BF">
        <w:rPr>
          <w:rFonts w:ascii="楷体_GB2312" w:eastAsia="楷体_GB2312" w:hAnsi="方正楷体简体" w:cs="方正楷体简体" w:hint="eastAsia"/>
          <w:sz w:val="32"/>
          <w:szCs w:val="32"/>
        </w:rPr>
        <w:t>科技创新载体</w:t>
      </w:r>
    </w:p>
    <w:p w:rsidR="0066211C" w:rsidRPr="00A015BF" w:rsidRDefault="00B403C7" w:rsidP="00A43141">
      <w:pPr>
        <w:spacing w:line="576" w:lineRule="exact"/>
        <w:ind w:firstLineChars="200" w:firstLine="640"/>
        <w:jc w:val="left"/>
        <w:rPr>
          <w:rFonts w:ascii="楷体_GB2312" w:eastAsia="楷体_GB2312" w:hAnsi="方正楷体简体" w:cs="方正楷体简体"/>
          <w:sz w:val="32"/>
          <w:szCs w:val="32"/>
        </w:rPr>
      </w:pPr>
      <w:r w:rsidRPr="00A015BF">
        <w:rPr>
          <w:rFonts w:ascii="楷体_GB2312" w:eastAsia="楷体_GB2312" w:hAnsi="方正楷体简体" w:cs="方正楷体简体" w:hint="eastAsia"/>
          <w:sz w:val="32"/>
          <w:szCs w:val="32"/>
        </w:rPr>
        <w:t xml:space="preserve">第三章  </w:t>
      </w:r>
      <w:r w:rsidRPr="00A015BF">
        <w:rPr>
          <w:rFonts w:ascii="楷体_GB2312" w:eastAsia="楷体_GB2312" w:hAnsi="方正楷体简体" w:cs="方正楷体简体" w:hint="eastAsia"/>
          <w:sz w:val="32"/>
          <w:szCs w:val="32"/>
          <w:lang w:val="en"/>
        </w:rPr>
        <w:t xml:space="preserve">  </w:t>
      </w:r>
      <w:r w:rsidRPr="00A015BF">
        <w:rPr>
          <w:rFonts w:ascii="楷体_GB2312" w:eastAsia="楷体_GB2312" w:hAnsi="方正楷体简体" w:cs="方正楷体简体" w:hint="eastAsia"/>
          <w:sz w:val="32"/>
          <w:szCs w:val="32"/>
        </w:rPr>
        <w:t>科技创新主体</w:t>
      </w:r>
    </w:p>
    <w:p w:rsidR="0066211C" w:rsidRPr="00A015BF" w:rsidRDefault="00B403C7" w:rsidP="00A43141">
      <w:pPr>
        <w:spacing w:line="576" w:lineRule="exact"/>
        <w:ind w:firstLineChars="200" w:firstLine="640"/>
        <w:jc w:val="left"/>
        <w:rPr>
          <w:rFonts w:ascii="楷体_GB2312" w:eastAsia="楷体_GB2312" w:hAnsi="方正楷体简体" w:cs="方正楷体简体"/>
          <w:sz w:val="32"/>
          <w:szCs w:val="32"/>
        </w:rPr>
      </w:pPr>
      <w:r w:rsidRPr="00A015BF">
        <w:rPr>
          <w:rFonts w:ascii="楷体_GB2312" w:eastAsia="楷体_GB2312" w:hAnsi="方正楷体简体" w:cs="方正楷体简体" w:hint="eastAsia"/>
          <w:sz w:val="32"/>
          <w:szCs w:val="32"/>
        </w:rPr>
        <w:t xml:space="preserve">第四章  </w:t>
      </w:r>
      <w:r w:rsidRPr="00A015BF">
        <w:rPr>
          <w:rFonts w:ascii="楷体_GB2312" w:eastAsia="楷体_GB2312" w:hAnsi="方正楷体简体" w:cs="方正楷体简体" w:hint="eastAsia"/>
          <w:sz w:val="32"/>
          <w:szCs w:val="32"/>
          <w:lang w:val="en"/>
        </w:rPr>
        <w:t xml:space="preserve">  </w:t>
      </w:r>
      <w:r w:rsidRPr="00A015BF">
        <w:rPr>
          <w:rFonts w:ascii="楷体_GB2312" w:eastAsia="楷体_GB2312" w:hAnsi="方正楷体简体" w:cs="方正楷体简体" w:hint="eastAsia"/>
          <w:sz w:val="32"/>
          <w:szCs w:val="32"/>
        </w:rPr>
        <w:t>科技创新能力</w:t>
      </w:r>
    </w:p>
    <w:p w:rsidR="0066211C" w:rsidRPr="00A015BF" w:rsidRDefault="00B403C7" w:rsidP="00A43141">
      <w:pPr>
        <w:spacing w:line="576" w:lineRule="exact"/>
        <w:ind w:firstLineChars="200" w:firstLine="640"/>
        <w:jc w:val="left"/>
        <w:rPr>
          <w:rFonts w:ascii="楷体_GB2312" w:eastAsia="楷体_GB2312" w:hAnsi="方正楷体简体" w:cs="方正楷体简体"/>
          <w:sz w:val="32"/>
          <w:szCs w:val="32"/>
        </w:rPr>
      </w:pPr>
      <w:r w:rsidRPr="00A015BF">
        <w:rPr>
          <w:rFonts w:ascii="楷体_GB2312" w:eastAsia="楷体_GB2312" w:hAnsi="方正楷体简体" w:cs="方正楷体简体" w:hint="eastAsia"/>
          <w:sz w:val="32"/>
          <w:szCs w:val="32"/>
        </w:rPr>
        <w:t xml:space="preserve">第五章 </w:t>
      </w:r>
      <w:r w:rsidRPr="00A015BF">
        <w:rPr>
          <w:rFonts w:ascii="楷体_GB2312" w:eastAsia="楷体_GB2312" w:hAnsi="方正楷体简体" w:cs="方正楷体简体" w:hint="eastAsia"/>
          <w:sz w:val="32"/>
          <w:szCs w:val="32"/>
          <w:lang w:val="en"/>
        </w:rPr>
        <w:t xml:space="preserve">  </w:t>
      </w:r>
      <w:r w:rsidRPr="00A015BF">
        <w:rPr>
          <w:rFonts w:ascii="楷体_GB2312" w:eastAsia="楷体_GB2312" w:hAnsi="方正楷体简体" w:cs="方正楷体简体" w:hint="eastAsia"/>
          <w:sz w:val="32"/>
          <w:szCs w:val="32"/>
        </w:rPr>
        <w:t xml:space="preserve"> 科技创新人才</w:t>
      </w:r>
    </w:p>
    <w:p w:rsidR="0066211C" w:rsidRPr="00A015BF" w:rsidRDefault="00B403C7" w:rsidP="00A43141">
      <w:pPr>
        <w:spacing w:line="576" w:lineRule="exact"/>
        <w:ind w:firstLineChars="200" w:firstLine="640"/>
        <w:jc w:val="left"/>
        <w:rPr>
          <w:rFonts w:ascii="楷体_GB2312" w:eastAsia="楷体_GB2312" w:hAnsi="方正楷体简体" w:cs="方正楷体简体"/>
          <w:sz w:val="32"/>
          <w:szCs w:val="32"/>
        </w:rPr>
      </w:pPr>
      <w:r w:rsidRPr="00A015BF">
        <w:rPr>
          <w:rFonts w:ascii="楷体_GB2312" w:eastAsia="楷体_GB2312" w:hAnsi="方正楷体简体" w:cs="方正楷体简体" w:hint="eastAsia"/>
          <w:sz w:val="32"/>
          <w:szCs w:val="32"/>
        </w:rPr>
        <w:t xml:space="preserve">第六章 </w:t>
      </w:r>
      <w:r w:rsidRPr="00A015BF">
        <w:rPr>
          <w:rFonts w:ascii="楷体_GB2312" w:eastAsia="楷体_GB2312" w:hAnsi="方正楷体简体" w:cs="方正楷体简体" w:hint="eastAsia"/>
          <w:sz w:val="32"/>
          <w:szCs w:val="32"/>
          <w:lang w:val="en"/>
        </w:rPr>
        <w:t xml:space="preserve">  </w:t>
      </w:r>
      <w:r w:rsidRPr="00A015BF">
        <w:rPr>
          <w:rFonts w:ascii="楷体_GB2312" w:eastAsia="楷体_GB2312" w:hAnsi="方正楷体简体" w:cs="方正楷体简体" w:hint="eastAsia"/>
          <w:sz w:val="32"/>
          <w:szCs w:val="32"/>
        </w:rPr>
        <w:t xml:space="preserve"> 科技金融</w:t>
      </w:r>
    </w:p>
    <w:p w:rsidR="0066211C" w:rsidRPr="00A015BF" w:rsidRDefault="00B403C7" w:rsidP="00A43141">
      <w:pPr>
        <w:spacing w:line="576" w:lineRule="exact"/>
        <w:ind w:firstLineChars="200" w:firstLine="640"/>
        <w:jc w:val="left"/>
        <w:rPr>
          <w:rFonts w:ascii="楷体_GB2312" w:eastAsia="楷体_GB2312" w:hAnsi="方正楷体简体" w:cs="方正楷体简体"/>
          <w:sz w:val="32"/>
          <w:szCs w:val="32"/>
        </w:rPr>
      </w:pPr>
      <w:r w:rsidRPr="00A015BF">
        <w:rPr>
          <w:rFonts w:ascii="楷体_GB2312" w:eastAsia="楷体_GB2312" w:hAnsi="方正楷体简体" w:cs="方正楷体简体" w:hint="eastAsia"/>
          <w:sz w:val="32"/>
          <w:szCs w:val="32"/>
        </w:rPr>
        <w:t xml:space="preserve">第七章 </w:t>
      </w:r>
      <w:r w:rsidRPr="00A015BF">
        <w:rPr>
          <w:rFonts w:ascii="楷体_GB2312" w:eastAsia="楷体_GB2312" w:hAnsi="方正楷体简体" w:cs="方正楷体简体" w:hint="eastAsia"/>
          <w:sz w:val="32"/>
          <w:szCs w:val="32"/>
          <w:lang w:val="en"/>
        </w:rPr>
        <w:t xml:space="preserve">  </w:t>
      </w:r>
      <w:r w:rsidRPr="00A015BF">
        <w:rPr>
          <w:rFonts w:ascii="楷体_GB2312" w:eastAsia="楷体_GB2312" w:hAnsi="方正楷体简体" w:cs="方正楷体简体" w:hint="eastAsia"/>
          <w:sz w:val="32"/>
          <w:szCs w:val="32"/>
        </w:rPr>
        <w:t xml:space="preserve"> 科技创新环境</w:t>
      </w:r>
    </w:p>
    <w:p w:rsidR="0066211C" w:rsidRPr="00A015BF" w:rsidRDefault="00B403C7" w:rsidP="00A43141">
      <w:pPr>
        <w:spacing w:line="576" w:lineRule="exact"/>
        <w:ind w:firstLineChars="200" w:firstLine="640"/>
        <w:jc w:val="left"/>
        <w:rPr>
          <w:rFonts w:ascii="楷体_GB2312" w:eastAsia="黑体" w:hAnsi="方正楷体简体" w:cs="方正楷体简体"/>
          <w:sz w:val="32"/>
          <w:szCs w:val="32"/>
        </w:rPr>
      </w:pPr>
      <w:r w:rsidRPr="00A015BF">
        <w:rPr>
          <w:rFonts w:ascii="楷体_GB2312" w:eastAsia="楷体_GB2312" w:hAnsi="方正楷体简体" w:cs="方正楷体简体" w:hint="eastAsia"/>
          <w:sz w:val="32"/>
          <w:szCs w:val="32"/>
        </w:rPr>
        <w:t xml:space="preserve">第八章 </w:t>
      </w:r>
      <w:r w:rsidRPr="00A015BF">
        <w:rPr>
          <w:rFonts w:ascii="楷体_GB2312" w:eastAsia="楷体_GB2312" w:hAnsi="方正楷体简体" w:cs="方正楷体简体" w:hint="eastAsia"/>
          <w:sz w:val="32"/>
          <w:szCs w:val="32"/>
          <w:lang w:val="en"/>
        </w:rPr>
        <w:t xml:space="preserve">   </w:t>
      </w:r>
      <w:r w:rsidRPr="00A015BF">
        <w:rPr>
          <w:rFonts w:ascii="楷体_GB2312" w:eastAsia="楷体_GB2312" w:hAnsi="方正楷体简体" w:cs="方正楷体简体" w:hint="eastAsia"/>
          <w:sz w:val="32"/>
          <w:szCs w:val="32"/>
        </w:rPr>
        <w:t>附  则</w:t>
      </w:r>
    </w:p>
    <w:p w:rsidR="0066211C" w:rsidRPr="00A015BF" w:rsidRDefault="0066211C" w:rsidP="00A43141">
      <w:pPr>
        <w:pStyle w:val="a0"/>
        <w:spacing w:after="0" w:line="576" w:lineRule="exact"/>
        <w:rPr>
          <w:rFonts w:eastAsia="黑体"/>
        </w:rPr>
      </w:pPr>
    </w:p>
    <w:p w:rsidR="0066211C" w:rsidRDefault="00B403C7" w:rsidP="00A43141">
      <w:pPr>
        <w:spacing w:line="576" w:lineRule="exact"/>
        <w:jc w:val="center"/>
        <w:rPr>
          <w:rFonts w:ascii="黑体" w:eastAsia="黑体" w:hAnsi="黑体"/>
          <w:sz w:val="32"/>
          <w:szCs w:val="32"/>
        </w:rPr>
      </w:pPr>
      <w:r w:rsidRPr="00A015BF">
        <w:rPr>
          <w:rFonts w:ascii="黑体" w:eastAsia="黑体" w:hAnsi="黑体"/>
          <w:sz w:val="32"/>
          <w:szCs w:val="32"/>
        </w:rPr>
        <w:t>第一章</w:t>
      </w:r>
      <w:r w:rsidRPr="00A015BF">
        <w:rPr>
          <w:rFonts w:eastAsia="黑体"/>
          <w:sz w:val="32"/>
          <w:szCs w:val="32"/>
        </w:rPr>
        <w:t xml:space="preserve">    </w:t>
      </w:r>
      <w:r w:rsidRPr="00A015BF">
        <w:rPr>
          <w:rFonts w:ascii="黑体" w:eastAsia="黑体" w:hAnsi="黑体"/>
          <w:sz w:val="32"/>
          <w:szCs w:val="32"/>
        </w:rPr>
        <w:t>总  则</w:t>
      </w:r>
    </w:p>
    <w:p w:rsidR="00A015BF" w:rsidRPr="00A015BF" w:rsidRDefault="00A015BF" w:rsidP="00A43141">
      <w:pPr>
        <w:pStyle w:val="a0"/>
        <w:spacing w:after="0" w:line="576" w:lineRule="exact"/>
      </w:pP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第一条</w:t>
      </w:r>
      <w:r>
        <w:rPr>
          <w:rFonts w:eastAsia="方正黑体_GBK" w:hint="eastAsia"/>
          <w:sz w:val="32"/>
          <w:szCs w:val="32"/>
        </w:rPr>
        <w:t xml:space="preserve">  </w:t>
      </w:r>
      <w:r w:rsidRPr="00A015BF">
        <w:rPr>
          <w:rFonts w:eastAsia="仿宋_GB2312"/>
          <w:sz w:val="32"/>
          <w:szCs w:val="32"/>
        </w:rPr>
        <w:t>为了</w:t>
      </w:r>
      <w:r w:rsidRPr="00A015BF">
        <w:rPr>
          <w:rFonts w:eastAsia="仿宋_GB2312" w:hint="eastAsia"/>
          <w:sz w:val="32"/>
          <w:szCs w:val="32"/>
        </w:rPr>
        <w:t>深入实施创新驱动发展战略</w:t>
      </w:r>
      <w:r w:rsidRPr="00A015BF">
        <w:rPr>
          <w:rFonts w:eastAsia="仿宋_GB2312"/>
          <w:sz w:val="32"/>
          <w:szCs w:val="32"/>
        </w:rPr>
        <w:t>，建设具有全国</w:t>
      </w:r>
      <w:r w:rsidRPr="00A015BF">
        <w:rPr>
          <w:rFonts w:eastAsia="仿宋_GB2312"/>
          <w:sz w:val="32"/>
          <w:szCs w:val="32"/>
        </w:rPr>
        <w:lastRenderedPageBreak/>
        <w:t>影响力的科技创新中心，根据《中华人民共和国科学技术进步法》等法律法规，结合成都市实际，制定本条例。</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第二条</w:t>
      </w:r>
      <w:r>
        <w:rPr>
          <w:rFonts w:eastAsia="方正黑体_GBK" w:hint="eastAsia"/>
          <w:sz w:val="32"/>
          <w:szCs w:val="32"/>
        </w:rPr>
        <w:t xml:space="preserve">  </w:t>
      </w:r>
      <w:r w:rsidRPr="00A015BF">
        <w:rPr>
          <w:rFonts w:eastAsia="仿宋_GB2312"/>
          <w:sz w:val="32"/>
          <w:szCs w:val="32"/>
        </w:rPr>
        <w:t>本条例适用于本市行政区域内科技创新中心建设的相关活动。</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第三条</w:t>
      </w:r>
      <w:r>
        <w:rPr>
          <w:rFonts w:eastAsia="方正黑体_GBK" w:hint="eastAsia"/>
          <w:sz w:val="32"/>
          <w:szCs w:val="32"/>
        </w:rPr>
        <w:t xml:space="preserve">  </w:t>
      </w:r>
      <w:r w:rsidRPr="00A015BF">
        <w:rPr>
          <w:rFonts w:eastAsia="仿宋_GB2312" w:hint="eastAsia"/>
          <w:sz w:val="32"/>
          <w:szCs w:val="32"/>
        </w:rPr>
        <w:t>本市按照国家、四川省的战略部署，立足新发展阶段、贯彻新发展理念、构建新发展格局、推动高质量发展，将成都建设</w:t>
      </w:r>
      <w:proofErr w:type="gramStart"/>
      <w:r w:rsidRPr="00A015BF">
        <w:rPr>
          <w:rFonts w:eastAsia="仿宋_GB2312" w:hint="eastAsia"/>
          <w:sz w:val="32"/>
          <w:szCs w:val="32"/>
        </w:rPr>
        <w:t>成创新</w:t>
      </w:r>
      <w:proofErr w:type="gramEnd"/>
      <w:r w:rsidRPr="00A015BF">
        <w:rPr>
          <w:rFonts w:eastAsia="仿宋_GB2312" w:hint="eastAsia"/>
          <w:sz w:val="32"/>
          <w:szCs w:val="32"/>
        </w:rPr>
        <w:t>载体多元、创新主体活跃、创新能力突出、创新人才集聚、创新环境优越的具有全国影响力的科技创新中心，引领带动西部地区高质量发展，为我国建设世界科技强国、实现高水平科技自立自强提供重要支撑。</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第四条</w:t>
      </w:r>
      <w:r>
        <w:rPr>
          <w:rFonts w:eastAsia="方正黑体_GBK" w:hint="eastAsia"/>
          <w:sz w:val="32"/>
          <w:szCs w:val="32"/>
        </w:rPr>
        <w:t xml:space="preserve">  </w:t>
      </w:r>
      <w:r w:rsidRPr="00A015BF">
        <w:rPr>
          <w:rFonts w:eastAsia="仿宋_GB2312" w:hint="eastAsia"/>
          <w:sz w:val="32"/>
          <w:szCs w:val="32"/>
        </w:rPr>
        <w:t>本市坚持面向世界科技前沿、面向经济主战场、面向国家重大需求、面向人民生命健康，推进科技创新中心建设。</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第五条</w:t>
      </w:r>
      <w:r>
        <w:rPr>
          <w:rFonts w:eastAsia="方正黑体_GBK" w:hint="eastAsia"/>
          <w:sz w:val="32"/>
          <w:szCs w:val="32"/>
        </w:rPr>
        <w:t xml:space="preserve">  </w:t>
      </w:r>
      <w:r w:rsidRPr="00A015BF">
        <w:rPr>
          <w:rFonts w:eastAsia="仿宋_GB2312"/>
          <w:sz w:val="32"/>
          <w:szCs w:val="32"/>
        </w:rPr>
        <w:t>市人民政府应当加强对科技创新中心建设工作的领导，建立议事协调机制，统筹推进科技创新中心建设。</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区（市）县人民政府负责本辖区科技创新中心建设的相关工作。</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第六条</w:t>
      </w:r>
      <w:r>
        <w:rPr>
          <w:rFonts w:eastAsia="方正黑体_GBK" w:hint="eastAsia"/>
          <w:sz w:val="32"/>
          <w:szCs w:val="32"/>
        </w:rPr>
        <w:t xml:space="preserve">  </w:t>
      </w:r>
      <w:r w:rsidRPr="00A015BF">
        <w:rPr>
          <w:rFonts w:eastAsia="仿宋_GB2312"/>
          <w:sz w:val="32"/>
          <w:szCs w:val="32"/>
        </w:rPr>
        <w:t>市科学技术主管部门负责本市科技创新中心建设工作的指导协调和综合管理。</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市发展改革、经信、教育、财政、人力资源和社会保障、规划和自然资源、农业农村、商务、投资促进、国资监管、市场监管、金融监管、新经济等部门在各自职责范围内，负责科</w:t>
      </w:r>
      <w:r w:rsidRPr="00A015BF">
        <w:rPr>
          <w:rFonts w:eastAsia="仿宋_GB2312"/>
          <w:sz w:val="32"/>
          <w:szCs w:val="32"/>
        </w:rPr>
        <w:lastRenderedPageBreak/>
        <w:t>技创新中心建设的相关工作。</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第七条</w:t>
      </w:r>
      <w:r>
        <w:rPr>
          <w:rFonts w:eastAsia="方正黑体_GBK" w:hint="eastAsia"/>
          <w:sz w:val="32"/>
          <w:szCs w:val="32"/>
        </w:rPr>
        <w:t xml:space="preserve">  </w:t>
      </w:r>
      <w:r w:rsidRPr="00A015BF">
        <w:rPr>
          <w:rFonts w:eastAsia="仿宋_GB2312"/>
          <w:sz w:val="32"/>
          <w:szCs w:val="32"/>
        </w:rPr>
        <w:t>市人民政府组织编制科技创新中心建设规划，并纳入本市国民经济和社会发展规划。</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区（市）县人民政府提出本辖区科技创新中心建设的具体目标和要求，并纳入本辖区国民经济和社会发展规划。</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第八条</w:t>
      </w:r>
      <w:r>
        <w:rPr>
          <w:rFonts w:eastAsia="方正黑体_GBK" w:hint="eastAsia"/>
          <w:sz w:val="32"/>
          <w:szCs w:val="32"/>
        </w:rPr>
        <w:t xml:space="preserve">  </w:t>
      </w:r>
      <w:r w:rsidRPr="00A015BF">
        <w:rPr>
          <w:rFonts w:eastAsia="仿宋_GB2312"/>
          <w:sz w:val="32"/>
          <w:szCs w:val="32"/>
        </w:rPr>
        <w:t>本市建立以政府投入为引导、企业投入为主体、社会资金参与的多层次、多元化、多渠道科技创新投入机制。</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市和区（市）县人民政府应当将科技创新投入纳入本级财政预算，建立财政科技投入稳定增长机制，加强统筹管理、绩效评价和信息公开，提高资金使用效益。</w:t>
      </w:r>
    </w:p>
    <w:p w:rsidR="00A015BF" w:rsidRPr="00A015BF" w:rsidRDefault="00A015BF" w:rsidP="00A43141">
      <w:pPr>
        <w:pStyle w:val="a0"/>
        <w:spacing w:after="0" w:line="576" w:lineRule="exact"/>
      </w:pPr>
    </w:p>
    <w:p w:rsidR="0066211C" w:rsidRDefault="00B403C7" w:rsidP="00A43141">
      <w:pPr>
        <w:spacing w:line="576" w:lineRule="exact"/>
        <w:jc w:val="center"/>
        <w:rPr>
          <w:rFonts w:eastAsia="黑体"/>
          <w:sz w:val="32"/>
          <w:szCs w:val="32"/>
        </w:rPr>
      </w:pPr>
      <w:r w:rsidRPr="00A015BF">
        <w:rPr>
          <w:rFonts w:eastAsia="黑体"/>
          <w:sz w:val="32"/>
          <w:szCs w:val="32"/>
        </w:rPr>
        <w:t>第二章</w:t>
      </w:r>
      <w:r w:rsidRPr="00A015BF">
        <w:rPr>
          <w:rFonts w:eastAsia="黑体"/>
          <w:sz w:val="32"/>
          <w:szCs w:val="32"/>
        </w:rPr>
        <w:t xml:space="preserve">    </w:t>
      </w:r>
      <w:r w:rsidRPr="00A015BF">
        <w:rPr>
          <w:rFonts w:eastAsia="黑体"/>
          <w:sz w:val="32"/>
          <w:szCs w:val="32"/>
        </w:rPr>
        <w:t>科技创新载体</w:t>
      </w:r>
    </w:p>
    <w:p w:rsidR="00A015BF" w:rsidRPr="00A015BF" w:rsidRDefault="00A015BF" w:rsidP="00A43141">
      <w:pPr>
        <w:pStyle w:val="a0"/>
        <w:spacing w:after="0" w:line="576" w:lineRule="exact"/>
      </w:pP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hint="eastAsia"/>
          <w:sz w:val="32"/>
          <w:szCs w:val="32"/>
        </w:rPr>
        <w:t>第九条</w:t>
      </w:r>
      <w:r>
        <w:rPr>
          <w:rFonts w:eastAsia="方正黑体_GBK" w:hint="eastAsia"/>
          <w:sz w:val="32"/>
          <w:szCs w:val="32"/>
        </w:rPr>
        <w:t xml:space="preserve">  </w:t>
      </w:r>
      <w:r w:rsidRPr="00A015BF">
        <w:rPr>
          <w:rFonts w:eastAsia="仿宋_GB2312" w:hint="eastAsia"/>
          <w:sz w:val="32"/>
          <w:szCs w:val="32"/>
        </w:rPr>
        <w:t>本市聚焦打造具有全国影响力的科技创新中心，推进四川天府新区、成都东部新区、西部（成都）科学城建设，打造科技创新主阵地和转型新动能。</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第十条</w:t>
      </w:r>
      <w:r>
        <w:rPr>
          <w:rFonts w:eastAsia="方正黑体_GBK" w:hint="eastAsia"/>
          <w:sz w:val="32"/>
          <w:szCs w:val="32"/>
        </w:rPr>
        <w:t xml:space="preserve">  </w:t>
      </w:r>
      <w:r w:rsidRPr="00A015BF">
        <w:rPr>
          <w:rFonts w:eastAsia="仿宋_GB2312" w:hint="eastAsia"/>
          <w:sz w:val="32"/>
          <w:szCs w:val="32"/>
        </w:rPr>
        <w:t>本市突出主体集中、区域集中、资源集中，着力构建国家科技创新中心、西部（成都）科学城、综合性国家科学中心、天府实验室创新平台体系，提升城市科技</w:t>
      </w:r>
      <w:proofErr w:type="gramStart"/>
      <w:r w:rsidRPr="00A015BF">
        <w:rPr>
          <w:rFonts w:eastAsia="仿宋_GB2312" w:hint="eastAsia"/>
          <w:sz w:val="32"/>
          <w:szCs w:val="32"/>
        </w:rPr>
        <w:t>创新策源能力</w:t>
      </w:r>
      <w:proofErr w:type="gramEnd"/>
      <w:r w:rsidRPr="00A015BF">
        <w:rPr>
          <w:rFonts w:eastAsia="仿宋_GB2312" w:hint="eastAsia"/>
          <w:sz w:val="32"/>
          <w:szCs w:val="32"/>
        </w:rPr>
        <w:t>。</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第十一条</w:t>
      </w:r>
      <w:r>
        <w:rPr>
          <w:rFonts w:eastAsia="方正黑体_GBK" w:hint="eastAsia"/>
          <w:sz w:val="32"/>
          <w:szCs w:val="32"/>
        </w:rPr>
        <w:t xml:space="preserve">  </w:t>
      </w:r>
      <w:r w:rsidRPr="00A015BF">
        <w:rPr>
          <w:rFonts w:eastAsia="仿宋_GB2312" w:hint="eastAsia"/>
          <w:sz w:val="32"/>
          <w:szCs w:val="32"/>
        </w:rPr>
        <w:t>本市着力推进西部（成都）科学城的建设，以成都科学城、新经济活力区、生命科学创新区、未来科技城、</w:t>
      </w:r>
      <w:r w:rsidRPr="00A015BF">
        <w:rPr>
          <w:rFonts w:eastAsia="仿宋_GB2312" w:hint="eastAsia"/>
          <w:sz w:val="32"/>
          <w:szCs w:val="32"/>
        </w:rPr>
        <w:lastRenderedPageBreak/>
        <w:t>新一代信息技术创新基地为重要承载区，提升基础研究和原始创新能力，辐射带动全市科技创新中心建设。</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鼓励西部（成都）科学城在体制机制、人才政策、科技金融、统计管理、科技成果转化与股权激励等方面改革创新，形成支持全面创新的基础制度。</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第十二条</w:t>
      </w:r>
      <w:r>
        <w:rPr>
          <w:rFonts w:eastAsia="方正黑体_GBK" w:hint="eastAsia"/>
          <w:sz w:val="32"/>
          <w:szCs w:val="32"/>
        </w:rPr>
        <w:t xml:space="preserve">  </w:t>
      </w:r>
      <w:r w:rsidRPr="00A015BF">
        <w:rPr>
          <w:rFonts w:eastAsia="仿宋_GB2312" w:hint="eastAsia"/>
          <w:sz w:val="32"/>
          <w:szCs w:val="32"/>
        </w:rPr>
        <w:t>本市以四川天府新区为主阵地创建综合性国家科学中心，支持建设重大科技基础设施、工程研究中心、制造业创新中心、产业创新中心、技术创新中心、国家医学中心和国家区域医疗中心，打造学科内涵关联、空间分布集聚的原始创新集群。</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市人民政府有关部门应当建立与各</w:t>
      </w:r>
      <w:proofErr w:type="gramStart"/>
      <w:r w:rsidRPr="00A015BF">
        <w:rPr>
          <w:rFonts w:eastAsia="仿宋_GB2312" w:hint="eastAsia"/>
          <w:sz w:val="32"/>
          <w:szCs w:val="32"/>
        </w:rPr>
        <w:t>类创新</w:t>
      </w:r>
      <w:proofErr w:type="gramEnd"/>
      <w:r w:rsidRPr="00A015BF">
        <w:rPr>
          <w:rFonts w:eastAsia="仿宋_GB2312" w:hint="eastAsia"/>
          <w:sz w:val="32"/>
          <w:szCs w:val="32"/>
        </w:rPr>
        <w:t>平台发展特点相适应的遴选机制、评价标准，并制定支持政策。</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第十三条</w:t>
      </w:r>
      <w:r>
        <w:rPr>
          <w:rFonts w:eastAsia="方正黑体_GBK" w:hint="eastAsia"/>
          <w:sz w:val="32"/>
          <w:szCs w:val="32"/>
        </w:rPr>
        <w:t xml:space="preserve">  </w:t>
      </w:r>
      <w:r w:rsidRPr="00A015BF">
        <w:rPr>
          <w:rFonts w:eastAsia="仿宋_GB2312" w:hint="eastAsia"/>
          <w:sz w:val="32"/>
          <w:szCs w:val="32"/>
        </w:rPr>
        <w:t>本市围绕电子信息、生命科学、生态环境等优势领域，按照国家实验室标准组建天府实验室，建设国家实验室成都基地，打造战略科技力量。</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天府实验室应当坚持问题导向，加快突破关键核心技术，着力解决影响制约国家发展全局和长远利益的重大科技问题。</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第十四条</w:t>
      </w:r>
      <w:r>
        <w:rPr>
          <w:rFonts w:eastAsia="方正黑体_GBK" w:hint="eastAsia"/>
          <w:sz w:val="32"/>
          <w:szCs w:val="32"/>
        </w:rPr>
        <w:t xml:space="preserve">  </w:t>
      </w:r>
      <w:r w:rsidRPr="00A015BF">
        <w:rPr>
          <w:rFonts w:eastAsia="仿宋_GB2312"/>
          <w:sz w:val="32"/>
          <w:szCs w:val="32"/>
        </w:rPr>
        <w:t>市和区（市）县人民政府应当结合区域优势和产业特色，依托产业功能区，建设创新要素集聚、综合服务功能完善、适宜创新创业、各具特色的科技创新承载区。</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本市在产业功能区建设具有研发设计、创新转化、场景营造、社区服务等综合功能</w:t>
      </w:r>
      <w:proofErr w:type="gramStart"/>
      <w:r w:rsidRPr="00A015BF">
        <w:rPr>
          <w:rFonts w:eastAsia="仿宋_GB2312"/>
          <w:sz w:val="32"/>
          <w:szCs w:val="32"/>
        </w:rPr>
        <w:t>的科创空间</w:t>
      </w:r>
      <w:proofErr w:type="gramEnd"/>
      <w:r w:rsidRPr="00A015BF">
        <w:rPr>
          <w:rFonts w:eastAsia="仿宋_GB2312"/>
          <w:sz w:val="32"/>
          <w:szCs w:val="32"/>
        </w:rPr>
        <w:t>，建立完善科技创新综合</w:t>
      </w:r>
      <w:r w:rsidRPr="00A015BF">
        <w:rPr>
          <w:rFonts w:eastAsia="仿宋_GB2312"/>
          <w:sz w:val="32"/>
          <w:szCs w:val="32"/>
        </w:rPr>
        <w:lastRenderedPageBreak/>
        <w:t>服务体系，吸引创新创业团队、企业、创投机构、孵化平台入驻，促进产业创新资源优化配置。</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鼓励高等院校、科研院所、企业和金融机构等参与</w:t>
      </w:r>
      <w:proofErr w:type="gramStart"/>
      <w:r w:rsidRPr="00A015BF">
        <w:rPr>
          <w:rFonts w:eastAsia="仿宋_GB2312"/>
          <w:sz w:val="32"/>
          <w:szCs w:val="32"/>
        </w:rPr>
        <w:t>科创空间</w:t>
      </w:r>
      <w:proofErr w:type="gramEnd"/>
      <w:r w:rsidRPr="00A015BF">
        <w:rPr>
          <w:rFonts w:eastAsia="仿宋_GB2312"/>
          <w:sz w:val="32"/>
          <w:szCs w:val="32"/>
        </w:rPr>
        <w:t>建设，围绕技术创新、产品研发、成果转化、示范应用推广等开展项目合作。</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第十五条</w:t>
      </w:r>
      <w:r>
        <w:rPr>
          <w:rFonts w:eastAsia="方正黑体_GBK" w:hint="eastAsia"/>
          <w:sz w:val="32"/>
          <w:szCs w:val="32"/>
        </w:rPr>
        <w:t xml:space="preserve">  </w:t>
      </w:r>
      <w:r w:rsidRPr="00A015BF">
        <w:rPr>
          <w:rFonts w:eastAsia="仿宋_GB2312"/>
          <w:sz w:val="32"/>
          <w:szCs w:val="32"/>
        </w:rPr>
        <w:t>市人民政府应当围绕高质量发展需要，统筹推进城市物联网、工业互联网、卫星互联网等信息基础设施建设，发展智能交通、智慧能源等融合基础设施，搭建高能级创新平台、高标准公共平台等创新基础设施，建设提供数字转型、智能升级、融合创新等服务的现代基础设施体系。</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第十六条</w:t>
      </w:r>
      <w:r>
        <w:rPr>
          <w:rFonts w:eastAsia="方正黑体_GBK" w:hint="eastAsia"/>
          <w:sz w:val="32"/>
          <w:szCs w:val="32"/>
        </w:rPr>
        <w:t xml:space="preserve">  </w:t>
      </w:r>
      <w:r w:rsidRPr="00A015BF">
        <w:rPr>
          <w:rFonts w:eastAsia="仿宋_GB2312" w:hint="eastAsia"/>
          <w:sz w:val="32"/>
          <w:szCs w:val="32"/>
        </w:rPr>
        <w:t>本市支持科技企业孵化器、加速器等创新创业载体建设和发展，为创新创业个人、团队和企业提供研发场地、设施以及创业辅导、市场推广等服务。创新创业载体在房产、土地、收入等方面按照国家有关规定享受优惠政策。</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鼓励老旧商业设施、闲置楼宇、存量工业房产转型为创新创业载体，具体办法由市人民政府另行规定。</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第十七条</w:t>
      </w:r>
      <w:r>
        <w:rPr>
          <w:rFonts w:eastAsia="方正黑体_GBK" w:hint="eastAsia"/>
          <w:sz w:val="32"/>
          <w:szCs w:val="32"/>
        </w:rPr>
        <w:t xml:space="preserve">  </w:t>
      </w:r>
      <w:r w:rsidRPr="00A015BF">
        <w:rPr>
          <w:rFonts w:eastAsia="仿宋_GB2312" w:hint="eastAsia"/>
          <w:sz w:val="32"/>
          <w:szCs w:val="32"/>
        </w:rPr>
        <w:t>市和区（市）县人民政府应当对科技创新中心建设用地需求优先予以保障，并统筹保障基础设施、公共设施以及其他配套设施用地。</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创新产业用地供应政策，对用于融合研发、设计、检测、中试、新经济等创新性业态的产业用地，可以按新型产业用地管理。对用于研发总部、</w:t>
      </w:r>
      <w:proofErr w:type="gramStart"/>
      <w:r w:rsidRPr="00A015BF">
        <w:rPr>
          <w:rFonts w:eastAsia="仿宋_GB2312" w:hint="eastAsia"/>
          <w:sz w:val="32"/>
          <w:szCs w:val="32"/>
        </w:rPr>
        <w:t>众创空间</w:t>
      </w:r>
      <w:proofErr w:type="gramEnd"/>
      <w:r w:rsidRPr="00A015BF">
        <w:rPr>
          <w:rFonts w:eastAsia="仿宋_GB2312" w:hint="eastAsia"/>
          <w:sz w:val="32"/>
          <w:szCs w:val="32"/>
        </w:rPr>
        <w:t>、孵化器以及产品创新设计</w:t>
      </w:r>
      <w:r w:rsidRPr="00A015BF">
        <w:rPr>
          <w:rFonts w:eastAsia="仿宋_GB2312" w:hint="eastAsia"/>
          <w:sz w:val="32"/>
          <w:szCs w:val="32"/>
        </w:rPr>
        <w:lastRenderedPageBreak/>
        <w:t>等营利性科研机构和企业项目用地，可以</w:t>
      </w:r>
      <w:proofErr w:type="gramStart"/>
      <w:r w:rsidRPr="00A015BF">
        <w:rPr>
          <w:rFonts w:eastAsia="仿宋_GB2312" w:hint="eastAsia"/>
          <w:sz w:val="32"/>
          <w:szCs w:val="32"/>
        </w:rPr>
        <w:t>按科研</w:t>
      </w:r>
      <w:proofErr w:type="gramEnd"/>
      <w:r w:rsidRPr="00A015BF">
        <w:rPr>
          <w:rFonts w:eastAsia="仿宋_GB2312" w:hint="eastAsia"/>
          <w:sz w:val="32"/>
          <w:szCs w:val="32"/>
        </w:rPr>
        <w:t>设计用地管理。</w:t>
      </w:r>
    </w:p>
    <w:p w:rsidR="00A015BF" w:rsidRPr="00A015BF" w:rsidRDefault="00A015BF" w:rsidP="00A43141">
      <w:pPr>
        <w:pStyle w:val="a0"/>
        <w:spacing w:after="0" w:line="576" w:lineRule="exact"/>
      </w:pPr>
    </w:p>
    <w:p w:rsidR="0066211C" w:rsidRDefault="00B403C7" w:rsidP="00A43141">
      <w:pPr>
        <w:spacing w:line="576" w:lineRule="exact"/>
        <w:jc w:val="center"/>
        <w:rPr>
          <w:rFonts w:ascii="黑体" w:eastAsia="黑体" w:hAnsi="黑体"/>
          <w:sz w:val="32"/>
          <w:szCs w:val="32"/>
        </w:rPr>
      </w:pPr>
      <w:r w:rsidRPr="00A015BF">
        <w:rPr>
          <w:rFonts w:ascii="黑体" w:eastAsia="黑体" w:hAnsi="黑体"/>
          <w:sz w:val="32"/>
          <w:szCs w:val="32"/>
        </w:rPr>
        <w:t>第三章    科技创新主体</w:t>
      </w:r>
    </w:p>
    <w:p w:rsidR="00A015BF" w:rsidRPr="00A015BF" w:rsidRDefault="00A015BF" w:rsidP="00A43141">
      <w:pPr>
        <w:pStyle w:val="a0"/>
        <w:spacing w:after="0" w:line="576" w:lineRule="exact"/>
      </w:pP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第十八条</w:t>
      </w:r>
      <w:r>
        <w:rPr>
          <w:rFonts w:eastAsia="方正黑体_GBK" w:hint="eastAsia"/>
          <w:sz w:val="32"/>
          <w:szCs w:val="32"/>
        </w:rPr>
        <w:t xml:space="preserve">  </w:t>
      </w:r>
      <w:r w:rsidRPr="00A015BF">
        <w:rPr>
          <w:rFonts w:eastAsia="仿宋_GB2312"/>
          <w:sz w:val="32"/>
          <w:szCs w:val="32"/>
        </w:rPr>
        <w:t>本市鼓励</w:t>
      </w:r>
      <w:r w:rsidRPr="00A015BF">
        <w:rPr>
          <w:rFonts w:eastAsia="仿宋_GB2312" w:hint="eastAsia"/>
          <w:sz w:val="32"/>
          <w:szCs w:val="32"/>
        </w:rPr>
        <w:t>企业、高等院校、科研院所、</w:t>
      </w:r>
      <w:r w:rsidRPr="00A015BF">
        <w:rPr>
          <w:rFonts w:eastAsia="仿宋_GB2312"/>
          <w:sz w:val="32"/>
          <w:szCs w:val="32"/>
        </w:rPr>
        <w:t>社会组织、个人等各</w:t>
      </w:r>
      <w:proofErr w:type="gramStart"/>
      <w:r w:rsidRPr="00A015BF">
        <w:rPr>
          <w:rFonts w:eastAsia="仿宋_GB2312"/>
          <w:sz w:val="32"/>
          <w:szCs w:val="32"/>
        </w:rPr>
        <w:t>类创新</w:t>
      </w:r>
      <w:proofErr w:type="gramEnd"/>
      <w:r w:rsidRPr="00A015BF">
        <w:rPr>
          <w:rFonts w:eastAsia="仿宋_GB2312"/>
          <w:sz w:val="32"/>
          <w:szCs w:val="32"/>
        </w:rPr>
        <w:t>主体参与科技创新中心建设，开展创新创业活动。</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市和区（市）县人民政府及其有关部门应当根据不同创新主体的功能定位提供相应政策支持，依法保护各</w:t>
      </w:r>
      <w:proofErr w:type="gramStart"/>
      <w:r w:rsidRPr="00A015BF">
        <w:rPr>
          <w:rFonts w:eastAsia="仿宋_GB2312"/>
          <w:sz w:val="32"/>
          <w:szCs w:val="32"/>
        </w:rPr>
        <w:t>类创新</w:t>
      </w:r>
      <w:proofErr w:type="gramEnd"/>
      <w:r w:rsidRPr="00A015BF">
        <w:rPr>
          <w:rFonts w:eastAsia="仿宋_GB2312"/>
          <w:sz w:val="32"/>
          <w:szCs w:val="32"/>
        </w:rPr>
        <w:t>主体平等获取科技创新资源，公平参与市场竞争。</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第十九条</w:t>
      </w:r>
      <w:r>
        <w:rPr>
          <w:rFonts w:eastAsia="方正黑体_GBK" w:hint="eastAsia"/>
          <w:sz w:val="32"/>
          <w:szCs w:val="32"/>
        </w:rPr>
        <w:t xml:space="preserve">  </w:t>
      </w:r>
      <w:r w:rsidRPr="00A015BF">
        <w:rPr>
          <w:rFonts w:eastAsia="仿宋_GB2312"/>
          <w:sz w:val="32"/>
          <w:szCs w:val="32"/>
        </w:rPr>
        <w:t>本市支持企业增加研究开发投入，建立企业技术研发平台，根据市场需求制定创新发展规划，自主开展技术、装备和标准的研发应用。</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市和区（市）县人民政府及其有关部门应当通过实施高新技术企业培育，提供研发资助，落实研发设备加速折旧、研发费用加计扣除、高新技术企业所得税优惠政策和创新产品</w:t>
      </w:r>
      <w:proofErr w:type="gramStart"/>
      <w:r w:rsidRPr="00A015BF">
        <w:rPr>
          <w:rFonts w:eastAsia="仿宋_GB2312"/>
          <w:sz w:val="32"/>
          <w:szCs w:val="32"/>
        </w:rPr>
        <w:t>首购等</w:t>
      </w:r>
      <w:proofErr w:type="gramEnd"/>
      <w:r w:rsidRPr="00A015BF">
        <w:rPr>
          <w:rFonts w:eastAsia="仿宋_GB2312"/>
          <w:sz w:val="32"/>
          <w:szCs w:val="32"/>
        </w:rPr>
        <w:t>方式，对企业的科技创新活动给予支持。</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第二十条</w:t>
      </w:r>
      <w:r>
        <w:rPr>
          <w:rFonts w:eastAsia="方正黑体_GBK" w:hint="eastAsia"/>
          <w:sz w:val="32"/>
          <w:szCs w:val="32"/>
        </w:rPr>
        <w:t xml:space="preserve">  </w:t>
      </w:r>
      <w:r w:rsidRPr="00A015BF">
        <w:rPr>
          <w:rFonts w:eastAsia="仿宋_GB2312"/>
          <w:sz w:val="32"/>
          <w:szCs w:val="32"/>
        </w:rPr>
        <w:t>市和区（市）县人民政府及其国有资产监督管理部门应当建立健全所属国有企业创新考核评价机制，将创新投入、创新能力建设、创新成效等纳入考核和评价内容。根据国有企业实际，分类确定年度研发投入比例，对国有企业研发费用支出，在经营业绩考核中视为利润。</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lastRenderedPageBreak/>
        <w:t>鼓励符合条件的国有科技型企业对重要技术人员和经营管理人员实施股权和分红激励。</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sz w:val="32"/>
          <w:szCs w:val="32"/>
        </w:rPr>
        <w:t>第二十一条</w:t>
      </w:r>
      <w:r>
        <w:rPr>
          <w:rFonts w:eastAsia="方正黑体_GBK" w:hint="eastAsia"/>
          <w:sz w:val="32"/>
          <w:szCs w:val="32"/>
        </w:rPr>
        <w:t xml:space="preserve">  </w:t>
      </w:r>
      <w:r w:rsidRPr="00A015BF">
        <w:rPr>
          <w:rFonts w:eastAsia="仿宋_GB2312"/>
          <w:sz w:val="32"/>
          <w:szCs w:val="32"/>
        </w:rPr>
        <w:t>本市支持在蓉高等院校、科研院所增强科研能力，建设世界一流大学（学科）和一流科研院所。</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在蓉高等院校、科研院所按照有关规定，享有选人用人、薪酬分配、机构设置、科研立项、</w:t>
      </w:r>
      <w:r w:rsidRPr="00A015BF">
        <w:rPr>
          <w:rFonts w:eastAsia="仿宋_GB2312" w:hint="eastAsia"/>
          <w:sz w:val="32"/>
          <w:szCs w:val="32"/>
        </w:rPr>
        <w:t>经费使用、</w:t>
      </w:r>
      <w:r w:rsidRPr="00A015BF">
        <w:rPr>
          <w:rFonts w:eastAsia="仿宋_GB2312"/>
          <w:sz w:val="32"/>
          <w:szCs w:val="32"/>
        </w:rPr>
        <w:t>成果处置等方面的自主权。</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第二十二条</w:t>
      </w:r>
      <w:r>
        <w:rPr>
          <w:rFonts w:eastAsia="方正黑体_GBK" w:hint="eastAsia"/>
          <w:sz w:val="32"/>
          <w:szCs w:val="32"/>
        </w:rPr>
        <w:t xml:space="preserve">  </w:t>
      </w:r>
      <w:r w:rsidRPr="00A015BF">
        <w:rPr>
          <w:rFonts w:eastAsia="仿宋_GB2312" w:hint="eastAsia"/>
          <w:sz w:val="32"/>
          <w:szCs w:val="32"/>
        </w:rPr>
        <w:t>本市支持投资主体多元化、管理制度现代化、运行机制市场化、用人机制灵活的新型研发机构建设，鼓励开展关键共性技术研发与创新成果转化，符合条件的新型研发机构可由市和区（市）县人民政府予以资助，在项目申报、职称评审、引进和培养人才等方面适用科研事业单位相关政策。</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第二十三条</w:t>
      </w:r>
      <w:r>
        <w:rPr>
          <w:rFonts w:eastAsia="方正黑体_GBK" w:hint="eastAsia"/>
          <w:sz w:val="32"/>
          <w:szCs w:val="32"/>
        </w:rPr>
        <w:t xml:space="preserve">  </w:t>
      </w:r>
      <w:r w:rsidRPr="00A015BF">
        <w:rPr>
          <w:rFonts w:eastAsia="仿宋_GB2312"/>
          <w:sz w:val="32"/>
          <w:szCs w:val="32"/>
        </w:rPr>
        <w:t>市和区（市）县人民政府有关部门应当支持科技服务机构的发展，鼓励其创新服务模式，延伸服务链，为科技创新和产业发展提供中试孵化、检验检测、评价评估、展览展示、认证认可、技术转移、知识产权、科技咨询、成果转化等专业化服务。</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第二十四条</w:t>
      </w:r>
      <w:r>
        <w:rPr>
          <w:rFonts w:eastAsia="方正黑体_GBK" w:hint="eastAsia"/>
          <w:sz w:val="32"/>
          <w:szCs w:val="32"/>
        </w:rPr>
        <w:t xml:space="preserve">  </w:t>
      </w:r>
      <w:r w:rsidRPr="00A015BF">
        <w:rPr>
          <w:rFonts w:eastAsia="仿宋_GB2312"/>
          <w:sz w:val="32"/>
          <w:szCs w:val="32"/>
        </w:rPr>
        <w:t>本市支持企业、高等院校和科研院所等各</w:t>
      </w:r>
      <w:proofErr w:type="gramStart"/>
      <w:r w:rsidRPr="00A015BF">
        <w:rPr>
          <w:rFonts w:eastAsia="仿宋_GB2312"/>
          <w:sz w:val="32"/>
          <w:szCs w:val="32"/>
        </w:rPr>
        <w:t>类创新</w:t>
      </w:r>
      <w:proofErr w:type="gramEnd"/>
      <w:r w:rsidRPr="00A015BF">
        <w:rPr>
          <w:rFonts w:eastAsia="仿宋_GB2312"/>
          <w:sz w:val="32"/>
          <w:szCs w:val="32"/>
        </w:rPr>
        <w:t>主体加强协同创新，建立产学研用创新联合体，共建新型研发机构和联合实验室，联合开展前沿科技、产业关键共性技术攻关。</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本市建立高等院校、科研院所与产业功能区企业对接平台，</w:t>
      </w:r>
      <w:r w:rsidRPr="00A015BF">
        <w:rPr>
          <w:rFonts w:eastAsia="仿宋_GB2312"/>
          <w:sz w:val="32"/>
          <w:szCs w:val="32"/>
        </w:rPr>
        <w:lastRenderedPageBreak/>
        <w:t>收集发布科技创新成果清单和技术创新需求清单，推动形成优势互补、成果共享、风险共担的产学研用对接合作机制。</w:t>
      </w:r>
    </w:p>
    <w:p w:rsidR="00A015BF" w:rsidRPr="00A015BF" w:rsidRDefault="00A015BF" w:rsidP="00A43141">
      <w:pPr>
        <w:pStyle w:val="a0"/>
        <w:spacing w:after="0" w:line="576" w:lineRule="exact"/>
      </w:pPr>
    </w:p>
    <w:p w:rsidR="0066211C" w:rsidRDefault="00B403C7" w:rsidP="00A43141">
      <w:pPr>
        <w:spacing w:line="576" w:lineRule="exact"/>
        <w:jc w:val="center"/>
        <w:rPr>
          <w:rFonts w:eastAsia="黑体"/>
          <w:sz w:val="32"/>
          <w:szCs w:val="32"/>
        </w:rPr>
      </w:pPr>
      <w:r w:rsidRPr="00A015BF">
        <w:rPr>
          <w:rFonts w:eastAsia="黑体"/>
          <w:sz w:val="32"/>
          <w:szCs w:val="32"/>
        </w:rPr>
        <w:t>第四章</w:t>
      </w:r>
      <w:r w:rsidRPr="00A015BF">
        <w:rPr>
          <w:rFonts w:eastAsia="黑体"/>
          <w:sz w:val="32"/>
          <w:szCs w:val="32"/>
        </w:rPr>
        <w:t xml:space="preserve">    </w:t>
      </w:r>
      <w:r w:rsidRPr="00A015BF">
        <w:rPr>
          <w:rFonts w:eastAsia="黑体"/>
          <w:sz w:val="32"/>
          <w:szCs w:val="32"/>
        </w:rPr>
        <w:t>科技创新能力</w:t>
      </w:r>
    </w:p>
    <w:p w:rsidR="00A015BF" w:rsidRPr="00A015BF" w:rsidRDefault="00A015BF" w:rsidP="00A43141">
      <w:pPr>
        <w:pStyle w:val="a0"/>
        <w:spacing w:after="0" w:line="576" w:lineRule="exact"/>
      </w:pP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第二十五条</w:t>
      </w:r>
      <w:r>
        <w:rPr>
          <w:rFonts w:eastAsia="方正黑体_GBK" w:hint="eastAsia"/>
          <w:sz w:val="32"/>
          <w:szCs w:val="32"/>
        </w:rPr>
        <w:t xml:space="preserve">  </w:t>
      </w:r>
      <w:r w:rsidRPr="00A015BF">
        <w:rPr>
          <w:rFonts w:eastAsia="仿宋_GB2312"/>
          <w:sz w:val="32"/>
          <w:szCs w:val="32"/>
        </w:rPr>
        <w:t>本市围绕国家战略部署和科技、经济社会发展重大需求，完善科学研究力量布局，实施科技创新重大项目和创新基础能力建设工程，加强原创性、引领性科技攻关。</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支持高等院校、科研院所和企业等各</w:t>
      </w:r>
      <w:proofErr w:type="gramStart"/>
      <w:r w:rsidRPr="00A015BF">
        <w:rPr>
          <w:rFonts w:eastAsia="仿宋_GB2312"/>
          <w:sz w:val="32"/>
          <w:szCs w:val="32"/>
        </w:rPr>
        <w:t>类创新</w:t>
      </w:r>
      <w:proofErr w:type="gramEnd"/>
      <w:r w:rsidRPr="00A015BF">
        <w:rPr>
          <w:rFonts w:eastAsia="仿宋_GB2312"/>
          <w:sz w:val="32"/>
          <w:szCs w:val="32"/>
        </w:rPr>
        <w:t>主体开展基础研究和应用基础研究，推动关键核心技术领域实现突破，产生颠覆性技术。</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支持开展绿色低碳技术研究，加速</w:t>
      </w:r>
      <w:proofErr w:type="gramStart"/>
      <w:r w:rsidRPr="00A015BF">
        <w:rPr>
          <w:rFonts w:eastAsia="仿宋_GB2312"/>
          <w:sz w:val="32"/>
          <w:szCs w:val="32"/>
        </w:rPr>
        <w:t>推进碳达峰</w:t>
      </w:r>
      <w:proofErr w:type="gramEnd"/>
      <w:r w:rsidRPr="00A015BF">
        <w:rPr>
          <w:rFonts w:eastAsia="仿宋_GB2312"/>
          <w:sz w:val="32"/>
          <w:szCs w:val="32"/>
        </w:rPr>
        <w:t>和</w:t>
      </w:r>
      <w:proofErr w:type="gramStart"/>
      <w:r w:rsidRPr="00A015BF">
        <w:rPr>
          <w:rFonts w:eastAsia="仿宋_GB2312"/>
          <w:sz w:val="32"/>
          <w:szCs w:val="32"/>
        </w:rPr>
        <w:t>碳中和</w:t>
      </w:r>
      <w:proofErr w:type="gramEnd"/>
      <w:r w:rsidRPr="00A015BF">
        <w:rPr>
          <w:rFonts w:eastAsia="仿宋_GB2312"/>
          <w:sz w:val="32"/>
          <w:szCs w:val="32"/>
        </w:rPr>
        <w:t>。</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第二十六条</w:t>
      </w:r>
      <w:r>
        <w:rPr>
          <w:rFonts w:eastAsia="方正黑体_GBK" w:hint="eastAsia"/>
          <w:sz w:val="32"/>
          <w:szCs w:val="32"/>
        </w:rPr>
        <w:t xml:space="preserve">  </w:t>
      </w:r>
      <w:r w:rsidRPr="00A015BF">
        <w:rPr>
          <w:rFonts w:eastAsia="仿宋_GB2312" w:hint="eastAsia"/>
          <w:sz w:val="32"/>
          <w:szCs w:val="32"/>
        </w:rPr>
        <w:t>本市建立以企业为主体、市场为导向、产学研用深度融合的技术创新体系，强化企业对推动技术创新的主体作用和高等院校、科研院所的支撑作用，组织实施技术攻关项目，推动关键共性技术、前沿引领技术、现代工程技术和颠覆性技术创新。</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hint="eastAsia"/>
          <w:sz w:val="32"/>
          <w:szCs w:val="32"/>
        </w:rPr>
        <w:t>第二十七条</w:t>
      </w:r>
      <w:r>
        <w:rPr>
          <w:rFonts w:eastAsia="方正黑体_GBK" w:hint="eastAsia"/>
          <w:sz w:val="32"/>
          <w:szCs w:val="32"/>
        </w:rPr>
        <w:t xml:space="preserve">  </w:t>
      </w:r>
      <w:r w:rsidRPr="00A015BF">
        <w:rPr>
          <w:rFonts w:eastAsia="仿宋_GB2312" w:hint="eastAsia"/>
          <w:sz w:val="32"/>
          <w:szCs w:val="32"/>
        </w:rPr>
        <w:t>市人民政府有关部门应当建立健全技术攻关项目组织管理机制。自由探索类研究项目，项目主管部门应当采取开放竞争方式遴选研究人员和团队；目标导向类研究项目，项目主管部门可以采用定向委托方式确定承担主体。对非共识类项目，允许承担主体在原有研究方向不变的前提下自主调整</w:t>
      </w:r>
      <w:r w:rsidRPr="00A015BF">
        <w:rPr>
          <w:rFonts w:eastAsia="仿宋_GB2312" w:hint="eastAsia"/>
          <w:sz w:val="32"/>
          <w:szCs w:val="32"/>
        </w:rPr>
        <w:lastRenderedPageBreak/>
        <w:t>研究方案和技术路线。</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第二十</w:t>
      </w:r>
      <w:r w:rsidRPr="00A015BF">
        <w:rPr>
          <w:rFonts w:eastAsia="黑体" w:hint="eastAsia"/>
          <w:sz w:val="32"/>
          <w:szCs w:val="32"/>
        </w:rPr>
        <w:t>八</w:t>
      </w:r>
      <w:r w:rsidRPr="00A015BF">
        <w:rPr>
          <w:rFonts w:eastAsia="黑体"/>
          <w:sz w:val="32"/>
          <w:szCs w:val="32"/>
        </w:rPr>
        <w:t>条</w:t>
      </w:r>
      <w:r>
        <w:rPr>
          <w:rFonts w:eastAsia="方正黑体_GBK" w:hint="eastAsia"/>
          <w:sz w:val="32"/>
          <w:szCs w:val="32"/>
        </w:rPr>
        <w:t xml:space="preserve">  </w:t>
      </w:r>
      <w:r w:rsidRPr="00A015BF">
        <w:rPr>
          <w:rFonts w:eastAsia="仿宋_GB2312" w:hint="eastAsia"/>
          <w:sz w:val="32"/>
          <w:szCs w:val="32"/>
        </w:rPr>
        <w:t>本市鼓励在蓉高等院校、科研院所开展科技人员职务科技成果所有权或者长期使用权改革，通过分割确权、约定权属比例的方式赋予科研人员科技成果所有权，对不宜确权分割的可以采取普通许可、独占许可、排他许可等方式赋予科研人员十年以上长期使用权。</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支持建立符合科技成果转化规律的国有技术类无形资产监管等机制，对科技成果、知识产权等技术类无形资产实行差别化管理，提高科技成果转化效率。</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第二十</w:t>
      </w:r>
      <w:r w:rsidRPr="00A015BF">
        <w:rPr>
          <w:rFonts w:eastAsia="黑体" w:hint="eastAsia"/>
          <w:sz w:val="32"/>
          <w:szCs w:val="32"/>
        </w:rPr>
        <w:t>九</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支持围绕新一代信息技术、人工智能、生物医药、智能制造等重点领域，开展新技术、新产品、新模式的研发创造，实施研发成果转化应用，培育发展数字经济、智能经济、绿色经济、创意经济、流量经济、共享经济等新经济形态。</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本市鼓励围绕前沿医学、人工智能、区块链、量子通信、氢能等重点领域，推进前沿交叉研发平台建设，开展技术预测和基础前沿技术、关键核心技术攻关，发展前沿技术和未来产业。</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w:t>
      </w:r>
      <w:r w:rsidRPr="00A015BF">
        <w:rPr>
          <w:rFonts w:eastAsia="黑体" w:hint="eastAsia"/>
          <w:sz w:val="32"/>
          <w:szCs w:val="32"/>
        </w:rPr>
        <w:t>三十</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市人民政府应当依托重大投资项目、重点建设工程、重要赛事活动搭建应用场景，面向社会发布技术创新需求清单，增加新技术新产品市场机会，促进新技术推广应用、新业态衍生发展和新模式融合创新。</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lastRenderedPageBreak/>
        <w:t>第三十</w:t>
      </w:r>
      <w:r w:rsidRPr="00A015BF">
        <w:rPr>
          <w:rFonts w:eastAsia="黑体" w:hint="eastAsia"/>
          <w:sz w:val="32"/>
          <w:szCs w:val="32"/>
        </w:rPr>
        <w:t>一</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本市建立统一的公共数据开放平台，有序推进公共数据开放，鼓励发展数据流通、挖掘、应用新业态，培育数据要素市场。</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第三十</w:t>
      </w:r>
      <w:r w:rsidRPr="00A015BF">
        <w:rPr>
          <w:rFonts w:eastAsia="黑体" w:hint="eastAsia"/>
          <w:sz w:val="32"/>
          <w:szCs w:val="32"/>
        </w:rPr>
        <w:t>二</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市和区（市）县人民政府应当发挥西部大开发、成渝地区双城经济圈建设、国家全面创新改革试验区、中国（四川）自由贸易试验区、国家自主创新示范区等综合政策优势，加强对内对外开放合作，增强科技创新中心建设的辐射带动效应，推进成渝地区双城经济圈建设，促进成</w:t>
      </w:r>
      <w:proofErr w:type="gramStart"/>
      <w:r w:rsidRPr="00A015BF">
        <w:rPr>
          <w:rFonts w:eastAsia="仿宋_GB2312"/>
          <w:sz w:val="32"/>
          <w:szCs w:val="32"/>
        </w:rPr>
        <w:t>德眉资</w:t>
      </w:r>
      <w:proofErr w:type="gramEnd"/>
      <w:r w:rsidRPr="00A015BF">
        <w:rPr>
          <w:rFonts w:eastAsia="仿宋_GB2312"/>
          <w:sz w:val="32"/>
          <w:szCs w:val="32"/>
        </w:rPr>
        <w:t>同城化发展。</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市和区（市）县人民政府应当加强国际化的科技创新环境建设，推进建设</w:t>
      </w:r>
      <w:r w:rsidRPr="00A015BF">
        <w:rPr>
          <w:rFonts w:eastAsia="仿宋_GB2312"/>
          <w:sz w:val="32"/>
          <w:szCs w:val="32"/>
        </w:rPr>
        <w:t>“</w:t>
      </w:r>
      <w:r w:rsidRPr="00A015BF">
        <w:rPr>
          <w:rFonts w:eastAsia="仿宋_GB2312"/>
          <w:sz w:val="32"/>
          <w:szCs w:val="32"/>
        </w:rPr>
        <w:t>一带一路</w:t>
      </w:r>
      <w:r w:rsidRPr="00A015BF">
        <w:rPr>
          <w:rFonts w:eastAsia="仿宋_GB2312"/>
          <w:sz w:val="32"/>
          <w:szCs w:val="32"/>
        </w:rPr>
        <w:t>”</w:t>
      </w:r>
      <w:r w:rsidRPr="00A015BF">
        <w:rPr>
          <w:rFonts w:eastAsia="仿宋_GB2312"/>
          <w:sz w:val="32"/>
          <w:szCs w:val="32"/>
        </w:rPr>
        <w:t>科技创新合作区和国际科技转移中心，鼓励国内外高等院校、科研院所、科技组织和跨国企业在本市落户或者设立分支机构，支持在本市开展科技创新的企业、新型研发机构赴境外建设研发中心等创新平台，促进国际科技创新交流合作。</w:t>
      </w:r>
    </w:p>
    <w:p w:rsidR="00A015BF" w:rsidRPr="00A015BF" w:rsidRDefault="00A015BF" w:rsidP="00A43141">
      <w:pPr>
        <w:pStyle w:val="a0"/>
        <w:spacing w:after="0" w:line="576" w:lineRule="exact"/>
      </w:pPr>
    </w:p>
    <w:p w:rsidR="0066211C" w:rsidRDefault="00B403C7" w:rsidP="00A43141">
      <w:pPr>
        <w:spacing w:line="576" w:lineRule="exact"/>
        <w:jc w:val="center"/>
        <w:rPr>
          <w:rFonts w:eastAsia="黑体"/>
          <w:sz w:val="32"/>
          <w:szCs w:val="32"/>
        </w:rPr>
      </w:pPr>
      <w:r w:rsidRPr="00A015BF">
        <w:rPr>
          <w:rFonts w:eastAsia="黑体"/>
          <w:sz w:val="32"/>
          <w:szCs w:val="32"/>
        </w:rPr>
        <w:t>第五章</w:t>
      </w:r>
      <w:r w:rsidRPr="00A015BF">
        <w:rPr>
          <w:rFonts w:eastAsia="黑体"/>
          <w:sz w:val="32"/>
          <w:szCs w:val="32"/>
        </w:rPr>
        <w:t xml:space="preserve">    </w:t>
      </w:r>
      <w:r w:rsidRPr="00A015BF">
        <w:rPr>
          <w:rFonts w:eastAsia="黑体"/>
          <w:sz w:val="32"/>
          <w:szCs w:val="32"/>
        </w:rPr>
        <w:t>科技创新人才</w:t>
      </w:r>
    </w:p>
    <w:p w:rsidR="00A015BF" w:rsidRPr="00A015BF" w:rsidRDefault="00A015BF" w:rsidP="00A43141">
      <w:pPr>
        <w:pStyle w:val="a0"/>
        <w:spacing w:after="0" w:line="576" w:lineRule="exact"/>
      </w:pP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第三十</w:t>
      </w:r>
      <w:r w:rsidRPr="00A015BF">
        <w:rPr>
          <w:rFonts w:eastAsia="黑体" w:hint="eastAsia"/>
          <w:sz w:val="32"/>
          <w:szCs w:val="32"/>
        </w:rPr>
        <w:t>三</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市和区（市）县人民政府应当制定和实施科技创新中心建设人才发展计划，建立符合人才成长规律的培养、引进、使用、评价、激励和流动机制，为科技创新人才提供创新创业条件和平台。</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lastRenderedPageBreak/>
        <w:t>市和区（市）县人民政府对创新能力突出、创新成效显著的科技创新人才给予重点支持，对青年创新创业人才给予普惠性支持，按照有关规定为科技创新人才提供落户、住房、医疗、子女入学入园等方面便利。</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第三十</w:t>
      </w:r>
      <w:r w:rsidRPr="00A015BF">
        <w:rPr>
          <w:rFonts w:eastAsia="黑体" w:hint="eastAsia"/>
          <w:sz w:val="32"/>
          <w:szCs w:val="32"/>
        </w:rPr>
        <w:t>四</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本市优化产学研用结合的协同育人机制，鼓励高等院校针对本市科技创新需要开展学科建设和人才培养，鼓励企业与高等院校合作办学，开展定向人才培训，提升人才队伍建设水平。</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市和区（市）县人民政府应当完善人才引进政策，编制急需紧缺人才目录，建立市场化的人才发现和引进机制，吸引科技创新人才向本市集聚。</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市属高等院校、科研院所等可结合本单位实际，对高层次和紧缺人才实行年薪制、协议工资制、项目工资制等灵活多样的分配形式。</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第三十</w:t>
      </w:r>
      <w:r w:rsidRPr="00A015BF">
        <w:rPr>
          <w:rFonts w:eastAsia="黑体" w:hint="eastAsia"/>
          <w:sz w:val="32"/>
          <w:szCs w:val="32"/>
        </w:rPr>
        <w:t>五</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本市鼓励用人单位按照国家有关规定和自身实际，以品德、能力、业绩为导向，完善人才评价要素和标准，推行代表性成果评价。</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鼓励用人单位根据基础研究、应用基础研究、技术创新以及科技成果转化等活动的不同特点，建立人才分类评价机制。</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第三十</w:t>
      </w:r>
      <w:r w:rsidRPr="00A015BF">
        <w:rPr>
          <w:rFonts w:eastAsia="黑体" w:hint="eastAsia"/>
          <w:sz w:val="32"/>
          <w:szCs w:val="32"/>
        </w:rPr>
        <w:t>六</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本市鼓励用人单位完善收入分配机制，体现创新贡献的价值导向。科研人员的收入应当与岗位职责、工作业绩、实际贡献紧密联系。</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lastRenderedPageBreak/>
        <w:t>除法律法规另有规定外，财政资金安排的竞争性科研项目的劳务费和绩效支出，经过技术合同认定登记的技术开发、技术咨询、技术服务等活动的奖酬支出，按照有关规定据实核增，计入当年单位绩效工资总额，不作为单位绩效工资总额基数。</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第三十</w:t>
      </w:r>
      <w:r w:rsidRPr="00A015BF">
        <w:rPr>
          <w:rFonts w:eastAsia="黑体" w:hint="eastAsia"/>
          <w:sz w:val="32"/>
          <w:szCs w:val="32"/>
        </w:rPr>
        <w:t>七</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本市鼓励科技创新人才在科研事业单位与企业</w:t>
      </w:r>
      <w:proofErr w:type="gramStart"/>
      <w:r w:rsidRPr="00A015BF">
        <w:rPr>
          <w:rFonts w:eastAsia="仿宋_GB2312"/>
          <w:sz w:val="32"/>
          <w:szCs w:val="32"/>
        </w:rPr>
        <w:t>间合理</w:t>
      </w:r>
      <w:proofErr w:type="gramEnd"/>
      <w:r w:rsidRPr="00A015BF">
        <w:rPr>
          <w:rFonts w:eastAsia="仿宋_GB2312"/>
          <w:sz w:val="32"/>
          <w:szCs w:val="32"/>
        </w:rPr>
        <w:t>流动。科研事业单位的专业技术人员经所在单位同意，可以在职创办企业或者到企业任职，创业和任职经历可以作为晋升专业技术职称的依据。有创新实践经验的企业管理人员和企业科研人员经所在单位同意，可以到科研事业单位兼职。</w:t>
      </w:r>
    </w:p>
    <w:p w:rsidR="00A015BF" w:rsidRPr="00A015BF" w:rsidRDefault="00A015BF" w:rsidP="00A43141">
      <w:pPr>
        <w:pStyle w:val="a0"/>
        <w:spacing w:after="0" w:line="576" w:lineRule="exact"/>
      </w:pPr>
    </w:p>
    <w:p w:rsidR="00A015BF" w:rsidRDefault="00B403C7" w:rsidP="00A43141">
      <w:pPr>
        <w:spacing w:line="576" w:lineRule="exact"/>
        <w:jc w:val="center"/>
        <w:rPr>
          <w:rFonts w:eastAsia="黑体"/>
          <w:sz w:val="32"/>
          <w:szCs w:val="32"/>
        </w:rPr>
      </w:pPr>
      <w:r w:rsidRPr="00A015BF">
        <w:rPr>
          <w:rFonts w:eastAsia="黑体"/>
          <w:sz w:val="32"/>
          <w:szCs w:val="32"/>
        </w:rPr>
        <w:t>第六章</w:t>
      </w:r>
      <w:r w:rsidRPr="00A015BF">
        <w:rPr>
          <w:rFonts w:eastAsia="黑体"/>
          <w:sz w:val="32"/>
          <w:szCs w:val="32"/>
        </w:rPr>
        <w:t xml:space="preserve">    </w:t>
      </w:r>
      <w:r w:rsidRPr="00A015BF">
        <w:rPr>
          <w:rFonts w:eastAsia="黑体"/>
          <w:sz w:val="32"/>
          <w:szCs w:val="32"/>
        </w:rPr>
        <w:t>科技金融</w:t>
      </w:r>
    </w:p>
    <w:p w:rsidR="00A43141" w:rsidRPr="00A43141" w:rsidRDefault="00A43141" w:rsidP="00A43141">
      <w:pPr>
        <w:pStyle w:val="a0"/>
      </w:pP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第三十</w:t>
      </w:r>
      <w:r w:rsidRPr="00A015BF">
        <w:rPr>
          <w:rFonts w:eastAsia="黑体" w:hint="eastAsia"/>
          <w:sz w:val="32"/>
          <w:szCs w:val="32"/>
        </w:rPr>
        <w:t>八</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本市加强科技金融服务体系建设，通过政府引导、市场培育等方式，建立以股权融资与债权融资为主渠道，覆盖科技创新全周期的多层次融资体系。</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鼓励金融机构、金融科技企业以金融科技手段，创新科技金融产品和服务，有效提升金融服务科技创新企业能力。</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第三十</w:t>
      </w:r>
      <w:r w:rsidRPr="00A015BF">
        <w:rPr>
          <w:rFonts w:eastAsia="黑体" w:hint="eastAsia"/>
          <w:sz w:val="32"/>
          <w:szCs w:val="32"/>
        </w:rPr>
        <w:t>九</w:t>
      </w:r>
      <w:r w:rsidRPr="00A015BF">
        <w:rPr>
          <w:rFonts w:eastAsia="黑体"/>
          <w:sz w:val="32"/>
          <w:szCs w:val="32"/>
        </w:rPr>
        <w:t>条</w:t>
      </w:r>
      <w:r>
        <w:rPr>
          <w:rFonts w:eastAsia="方正黑体_GBK" w:hint="eastAsia"/>
          <w:sz w:val="32"/>
          <w:szCs w:val="32"/>
        </w:rPr>
        <w:t xml:space="preserve">  </w:t>
      </w:r>
      <w:r w:rsidRPr="00A015BF">
        <w:rPr>
          <w:rFonts w:eastAsia="仿宋_GB2312" w:hint="eastAsia"/>
          <w:sz w:val="32"/>
          <w:szCs w:val="32"/>
        </w:rPr>
        <w:t>本市鼓励境内外各类资本和投资机构在本市依法设立创业投资基金、股权投资基金、并购基金、产业投资基金等，依法开展投资活动。</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市和区（市）县人民政府按照有关规定可以发起或者参与设立创业投资基金，引导社会资金流向科技项目和早中期、初</w:t>
      </w:r>
      <w:r w:rsidRPr="00A015BF">
        <w:rPr>
          <w:rFonts w:eastAsia="仿宋_GB2312" w:hint="eastAsia"/>
          <w:sz w:val="32"/>
          <w:szCs w:val="32"/>
        </w:rPr>
        <w:lastRenderedPageBreak/>
        <w:t>创</w:t>
      </w:r>
      <w:proofErr w:type="gramStart"/>
      <w:r w:rsidRPr="00A015BF">
        <w:rPr>
          <w:rFonts w:eastAsia="仿宋_GB2312" w:hint="eastAsia"/>
          <w:sz w:val="32"/>
          <w:szCs w:val="32"/>
        </w:rPr>
        <w:t>期科技</w:t>
      </w:r>
      <w:proofErr w:type="gramEnd"/>
      <w:r w:rsidRPr="00A015BF">
        <w:rPr>
          <w:rFonts w:eastAsia="仿宋_GB2312" w:hint="eastAsia"/>
          <w:sz w:val="32"/>
          <w:szCs w:val="32"/>
        </w:rPr>
        <w:t>企业。</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市国有资产监督管理等部门应当建立健全适应创业投资市场化规律的国有股权管理、资产评估和考核激励制度，对国有创业投资企业、技术转移机构实行差异化、周期性滚动考核，综合评价经济价值和社会价值。</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w:t>
      </w:r>
      <w:r w:rsidRPr="00A015BF">
        <w:rPr>
          <w:rFonts w:eastAsia="黑体" w:hint="eastAsia"/>
          <w:sz w:val="32"/>
          <w:szCs w:val="32"/>
        </w:rPr>
        <w:t>四十</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本市鼓励商业银行建立专门的组织、风险控制和激励考核体系，设立科技支行等科技金融专营机构，开展信用贷款、知识产权质押贷款、股权质押贷款、履约保证保险贷款等融资业务。</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鼓励保险机构依法开展科技保险业务，建立科技企业保险理赔快速通道，提高理赔服务质量和效率。</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第四十</w:t>
      </w:r>
      <w:r w:rsidRPr="00A015BF">
        <w:rPr>
          <w:rFonts w:eastAsia="黑体" w:hint="eastAsia"/>
          <w:sz w:val="32"/>
          <w:szCs w:val="32"/>
        </w:rPr>
        <w:t>一</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市和区（市）县人民政府应当建立</w:t>
      </w:r>
      <w:proofErr w:type="gramStart"/>
      <w:r w:rsidRPr="00A015BF">
        <w:rPr>
          <w:rFonts w:eastAsia="仿宋_GB2312"/>
          <w:sz w:val="32"/>
          <w:szCs w:val="32"/>
        </w:rPr>
        <w:t>健全开展</w:t>
      </w:r>
      <w:proofErr w:type="gramEnd"/>
      <w:r w:rsidRPr="00A015BF">
        <w:rPr>
          <w:rFonts w:eastAsia="仿宋_GB2312"/>
          <w:sz w:val="32"/>
          <w:szCs w:val="32"/>
        </w:rPr>
        <w:t>科技创新的企业上市扶持制度，支持符合条件的企业在多层次资本市场开展上市挂牌、发行债券、并购重组、再融资等活动，支持企业以专利权、商标权、著作权等知识产权形成的底层基础资产，发行资产证券化产品。</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支持区域股权交易市场设立科技创新专板，鼓励开展科技创新的中小企业发行可转债。</w:t>
      </w:r>
    </w:p>
    <w:p w:rsidR="00A015BF" w:rsidRPr="00A43141"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第四十</w:t>
      </w:r>
      <w:r w:rsidRPr="00A015BF">
        <w:rPr>
          <w:rFonts w:eastAsia="黑体" w:hint="eastAsia"/>
          <w:sz w:val="32"/>
          <w:szCs w:val="32"/>
        </w:rPr>
        <w:t>二</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本市鼓励融资担保公司和科技小额贷款公司开发支持科技创新的产品和服务，对面向科技型小</w:t>
      </w:r>
      <w:proofErr w:type="gramStart"/>
      <w:r w:rsidRPr="00A015BF">
        <w:rPr>
          <w:rFonts w:eastAsia="仿宋_GB2312"/>
          <w:sz w:val="32"/>
          <w:szCs w:val="32"/>
        </w:rPr>
        <w:t>微企业</w:t>
      </w:r>
      <w:proofErr w:type="gramEnd"/>
      <w:r w:rsidRPr="00A015BF">
        <w:rPr>
          <w:rFonts w:eastAsia="仿宋_GB2312"/>
          <w:sz w:val="32"/>
          <w:szCs w:val="32"/>
        </w:rPr>
        <w:t>发放小额贷款、提供融资担保等业务的，按照有关规定给予奖励补贴。</w:t>
      </w:r>
    </w:p>
    <w:p w:rsidR="0066211C" w:rsidRDefault="00B403C7" w:rsidP="00A43141">
      <w:pPr>
        <w:spacing w:line="576" w:lineRule="exact"/>
        <w:jc w:val="center"/>
        <w:rPr>
          <w:rFonts w:eastAsia="黑体"/>
          <w:sz w:val="32"/>
          <w:szCs w:val="32"/>
        </w:rPr>
      </w:pPr>
      <w:r w:rsidRPr="00A015BF">
        <w:rPr>
          <w:rFonts w:eastAsia="黑体"/>
          <w:sz w:val="32"/>
          <w:szCs w:val="32"/>
        </w:rPr>
        <w:lastRenderedPageBreak/>
        <w:t>第七章</w:t>
      </w:r>
      <w:r w:rsidRPr="00A015BF">
        <w:rPr>
          <w:rFonts w:eastAsia="黑体"/>
          <w:sz w:val="32"/>
          <w:szCs w:val="32"/>
        </w:rPr>
        <w:t xml:space="preserve">    </w:t>
      </w:r>
      <w:r w:rsidRPr="00A015BF">
        <w:rPr>
          <w:rFonts w:eastAsia="黑体"/>
          <w:sz w:val="32"/>
          <w:szCs w:val="32"/>
        </w:rPr>
        <w:t>科技创新环境</w:t>
      </w:r>
    </w:p>
    <w:p w:rsidR="00A015BF" w:rsidRPr="00A015BF" w:rsidRDefault="00A015BF" w:rsidP="00A43141">
      <w:pPr>
        <w:pStyle w:val="a0"/>
        <w:spacing w:after="0" w:line="576" w:lineRule="exact"/>
      </w:pP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第四十</w:t>
      </w:r>
      <w:r w:rsidRPr="00A015BF">
        <w:rPr>
          <w:rFonts w:eastAsia="黑体" w:hint="eastAsia"/>
          <w:sz w:val="32"/>
          <w:szCs w:val="32"/>
        </w:rPr>
        <w:t>三</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市和区（市）县人民政府应当在全社会弘扬崇尚科学、尊重人才、勇于创新的社会风尚，推动创新文化、创新精神、创新价值融入城市精神，营造激励创新、宽容失败的社会氛围。</w:t>
      </w:r>
    </w:p>
    <w:p w:rsidR="0066211C" w:rsidRPr="00A015BF" w:rsidRDefault="00B403C7" w:rsidP="00A43141">
      <w:pPr>
        <w:spacing w:line="576" w:lineRule="exact"/>
        <w:ind w:firstLineChars="200" w:firstLine="640"/>
        <w:jc w:val="left"/>
        <w:rPr>
          <w:rFonts w:eastAsia="仿宋_GB2312"/>
          <w:sz w:val="32"/>
          <w:szCs w:val="32"/>
        </w:rPr>
      </w:pPr>
      <w:r w:rsidRPr="00A015BF">
        <w:rPr>
          <w:rFonts w:ascii="黑体" w:eastAsia="黑体" w:hAnsi="黑体" w:hint="eastAsia"/>
          <w:sz w:val="32"/>
          <w:szCs w:val="32"/>
        </w:rPr>
        <w:t>第四十四条</w:t>
      </w:r>
      <w:r>
        <w:rPr>
          <w:rFonts w:ascii="黑体" w:eastAsia="黑体" w:hAnsi="黑体" w:hint="eastAsia"/>
          <w:sz w:val="32"/>
          <w:szCs w:val="32"/>
        </w:rPr>
        <w:t xml:space="preserve">  </w:t>
      </w:r>
      <w:r w:rsidRPr="00A015BF">
        <w:rPr>
          <w:rFonts w:eastAsia="仿宋_GB2312" w:hint="eastAsia"/>
          <w:sz w:val="32"/>
          <w:szCs w:val="32"/>
        </w:rPr>
        <w:t>市和区（市）县人民政府应当建立科技创新中心建设重大决策咨询制度，在编制实施重大规划、制定出台重要政策、落地布局重大项目前，征求相关创新主体、智库以及科技、产业、金融等相关领域的意见。</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hint="eastAsia"/>
          <w:sz w:val="32"/>
          <w:szCs w:val="32"/>
        </w:rPr>
        <w:t>市和区（市）县人民政府应当注重发挥科技创新相关群团组织、行业协会、中介机构作用，为科技工作者服务、为创新驱动发展服务、为提高全民科学素质服务、为党和政府科学决策服务，合力推动科技创新中心建设。</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第四十</w:t>
      </w:r>
      <w:r w:rsidRPr="00A015BF">
        <w:rPr>
          <w:rFonts w:eastAsia="黑体" w:hint="eastAsia"/>
          <w:sz w:val="32"/>
          <w:szCs w:val="32"/>
        </w:rPr>
        <w:t>五</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市和区（市）县人民政府应当建立公共科技创新资源共享机制，推进重大科技基础设施、大型科学仪器设施以及科技信息、科学数据、科技报告等开放共享。</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第四十</w:t>
      </w:r>
      <w:r w:rsidRPr="00A015BF">
        <w:rPr>
          <w:rFonts w:eastAsia="黑体" w:hint="eastAsia"/>
          <w:sz w:val="32"/>
          <w:szCs w:val="32"/>
        </w:rPr>
        <w:t>六</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本市加强知识产权保护体系建设，完善知识产权综合管理体制，强化知识产权运用，支持知识产权许可、转让、融资、产业化、作价入股、专利标准化等市场化运营模式发展。</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市和区（市）县人民政府应当建立知识产权纠纷多元解决、</w:t>
      </w:r>
      <w:r w:rsidRPr="00A015BF">
        <w:rPr>
          <w:rFonts w:eastAsia="仿宋_GB2312"/>
          <w:sz w:val="32"/>
          <w:szCs w:val="32"/>
        </w:rPr>
        <w:lastRenderedPageBreak/>
        <w:t>知识产权侵权快速查处和维权援助等工作机制，加大知识产权保护力度。</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第四十</w:t>
      </w:r>
      <w:r w:rsidRPr="00A015BF">
        <w:rPr>
          <w:rFonts w:eastAsia="黑体" w:hint="eastAsia"/>
          <w:sz w:val="32"/>
          <w:szCs w:val="32"/>
        </w:rPr>
        <w:t>七</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建立科技创新守信激励和失信惩戒机制，将科研信用信息、知识产权信用信息依法纳入本市公共信用信息服务平台，对存在失信行为的创新主体，在政府采购、财政资金支持、融资授信、推荐评比奖励等方面依法予以限制。</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第四十</w:t>
      </w:r>
      <w:r w:rsidRPr="00A015BF">
        <w:rPr>
          <w:rFonts w:eastAsia="黑体" w:hint="eastAsia"/>
          <w:sz w:val="32"/>
          <w:szCs w:val="32"/>
        </w:rPr>
        <w:t>八</w:t>
      </w:r>
      <w:r w:rsidRPr="00A015BF">
        <w:rPr>
          <w:rFonts w:eastAsia="黑体"/>
          <w:sz w:val="32"/>
          <w:szCs w:val="32"/>
        </w:rPr>
        <w:t>条</w:t>
      </w:r>
      <w:r>
        <w:rPr>
          <w:rFonts w:eastAsia="方正黑体_GBK" w:hint="eastAsia"/>
          <w:sz w:val="32"/>
          <w:szCs w:val="32"/>
        </w:rPr>
        <w:t xml:space="preserve">  </w:t>
      </w:r>
      <w:r w:rsidRPr="00A015BF">
        <w:rPr>
          <w:rFonts w:eastAsia="仿宋_GB2312"/>
          <w:sz w:val="32"/>
          <w:szCs w:val="32"/>
        </w:rPr>
        <w:t>本市有关单位和个人在推进科技创新过程中，</w:t>
      </w:r>
      <w:proofErr w:type="gramStart"/>
      <w:r w:rsidRPr="00A015BF">
        <w:rPr>
          <w:rFonts w:eastAsia="仿宋_GB2312"/>
          <w:sz w:val="32"/>
          <w:szCs w:val="32"/>
        </w:rPr>
        <w:t>作出</w:t>
      </w:r>
      <w:proofErr w:type="gramEnd"/>
      <w:r w:rsidRPr="00A015BF">
        <w:rPr>
          <w:rFonts w:eastAsia="仿宋_GB2312"/>
          <w:sz w:val="32"/>
          <w:szCs w:val="32"/>
        </w:rPr>
        <w:t>的决策未能实现预期目标，但符合法律法规以及国家、四川省和本市有关规定，且勤勉尽责、未牟取非法利益的，不作负面评价，依法免除相关责任。</w:t>
      </w:r>
    </w:p>
    <w:p w:rsidR="0066211C" w:rsidRPr="00A015BF" w:rsidRDefault="00B403C7" w:rsidP="00A43141">
      <w:pPr>
        <w:spacing w:line="576" w:lineRule="exact"/>
        <w:ind w:firstLineChars="200" w:firstLine="640"/>
        <w:jc w:val="left"/>
        <w:rPr>
          <w:rFonts w:eastAsia="仿宋_GB2312"/>
          <w:sz w:val="32"/>
          <w:szCs w:val="32"/>
        </w:rPr>
      </w:pPr>
      <w:r w:rsidRPr="00A015BF">
        <w:rPr>
          <w:rFonts w:eastAsia="仿宋_GB2312"/>
          <w:sz w:val="32"/>
          <w:szCs w:val="32"/>
        </w:rPr>
        <w:t>本市有关单位和个人承担探索性强、不确定性高的科技计划项目，未能形成预期科技成果，但已严格履行科研项目合同，未违反诚信要求的，不作负面评价，依法免除相关责任。</w:t>
      </w:r>
    </w:p>
    <w:p w:rsidR="00A015BF" w:rsidRPr="00A015BF" w:rsidRDefault="00A015BF" w:rsidP="00A43141">
      <w:pPr>
        <w:pStyle w:val="a0"/>
        <w:spacing w:after="0" w:line="576" w:lineRule="exact"/>
      </w:pPr>
    </w:p>
    <w:p w:rsidR="0066211C" w:rsidRDefault="00B403C7" w:rsidP="00A43141">
      <w:pPr>
        <w:spacing w:line="576" w:lineRule="exact"/>
        <w:jc w:val="center"/>
        <w:rPr>
          <w:rFonts w:eastAsia="黑体"/>
          <w:sz w:val="32"/>
          <w:szCs w:val="32"/>
        </w:rPr>
      </w:pPr>
      <w:r w:rsidRPr="00A015BF">
        <w:rPr>
          <w:rFonts w:eastAsia="黑体"/>
          <w:sz w:val="32"/>
          <w:szCs w:val="32"/>
        </w:rPr>
        <w:t>第八章</w:t>
      </w:r>
      <w:r w:rsidRPr="00A015BF">
        <w:rPr>
          <w:rFonts w:eastAsia="黑体"/>
          <w:sz w:val="32"/>
          <w:szCs w:val="32"/>
        </w:rPr>
        <w:t xml:space="preserve">    </w:t>
      </w:r>
      <w:r w:rsidRPr="00A015BF">
        <w:rPr>
          <w:rFonts w:eastAsia="黑体"/>
          <w:sz w:val="32"/>
          <w:szCs w:val="32"/>
        </w:rPr>
        <w:t>附</w:t>
      </w:r>
      <w:r w:rsidRPr="00A015BF">
        <w:rPr>
          <w:rFonts w:eastAsia="黑体"/>
          <w:sz w:val="32"/>
          <w:szCs w:val="32"/>
        </w:rPr>
        <w:t xml:space="preserve">  </w:t>
      </w:r>
      <w:r w:rsidRPr="00A015BF">
        <w:rPr>
          <w:rFonts w:eastAsia="黑体"/>
          <w:sz w:val="32"/>
          <w:szCs w:val="32"/>
        </w:rPr>
        <w:t>则</w:t>
      </w:r>
    </w:p>
    <w:p w:rsidR="00A015BF" w:rsidRPr="00A015BF" w:rsidRDefault="00A015BF" w:rsidP="00A43141">
      <w:pPr>
        <w:pStyle w:val="a0"/>
        <w:spacing w:after="0" w:line="576" w:lineRule="exact"/>
      </w:pPr>
    </w:p>
    <w:p w:rsidR="0066211C" w:rsidRPr="00A015BF" w:rsidRDefault="00B403C7" w:rsidP="00A43141">
      <w:pPr>
        <w:spacing w:line="576" w:lineRule="exact"/>
        <w:ind w:firstLineChars="200" w:firstLine="640"/>
        <w:jc w:val="left"/>
        <w:rPr>
          <w:rFonts w:eastAsia="仿宋_GB2312"/>
          <w:sz w:val="32"/>
          <w:szCs w:val="32"/>
        </w:rPr>
      </w:pPr>
      <w:r w:rsidRPr="00A015BF">
        <w:rPr>
          <w:rFonts w:eastAsia="黑体"/>
          <w:sz w:val="32"/>
          <w:szCs w:val="32"/>
        </w:rPr>
        <w:t>第四十</w:t>
      </w:r>
      <w:r w:rsidRPr="00A015BF">
        <w:rPr>
          <w:rFonts w:eastAsia="黑体" w:hint="eastAsia"/>
          <w:sz w:val="32"/>
          <w:szCs w:val="32"/>
        </w:rPr>
        <w:t>九</w:t>
      </w:r>
      <w:r w:rsidRPr="00A015BF">
        <w:rPr>
          <w:rFonts w:eastAsia="黑体"/>
          <w:sz w:val="32"/>
          <w:szCs w:val="32"/>
        </w:rPr>
        <w:t>条</w:t>
      </w:r>
      <w:r w:rsidRPr="00A015BF">
        <w:rPr>
          <w:rFonts w:eastAsia="仿宋_GB2312" w:hint="eastAsia"/>
          <w:sz w:val="32"/>
          <w:szCs w:val="32"/>
        </w:rPr>
        <w:t xml:space="preserve">  </w:t>
      </w:r>
      <w:r w:rsidRPr="00A015BF">
        <w:rPr>
          <w:rFonts w:eastAsia="仿宋_GB2312"/>
          <w:sz w:val="32"/>
          <w:szCs w:val="32"/>
        </w:rPr>
        <w:t>本条例自</w:t>
      </w:r>
      <w:r w:rsidRPr="00A015BF">
        <w:rPr>
          <w:rFonts w:eastAsia="仿宋_GB2312"/>
          <w:sz w:val="32"/>
          <w:szCs w:val="32"/>
        </w:rPr>
        <w:t>2021</w:t>
      </w:r>
      <w:r w:rsidRPr="00A015BF">
        <w:rPr>
          <w:rFonts w:eastAsia="仿宋_GB2312"/>
          <w:sz w:val="32"/>
          <w:szCs w:val="32"/>
        </w:rPr>
        <w:t>年</w:t>
      </w:r>
      <w:r w:rsidRPr="00A015BF">
        <w:rPr>
          <w:rFonts w:eastAsia="仿宋_GB2312"/>
          <w:sz w:val="32"/>
          <w:szCs w:val="32"/>
        </w:rPr>
        <w:t>10</w:t>
      </w:r>
      <w:r w:rsidRPr="00A015BF">
        <w:rPr>
          <w:rFonts w:eastAsia="仿宋_GB2312"/>
          <w:sz w:val="32"/>
          <w:szCs w:val="32"/>
        </w:rPr>
        <w:t>月</w:t>
      </w:r>
      <w:r w:rsidRPr="00A015BF">
        <w:rPr>
          <w:rFonts w:eastAsia="仿宋_GB2312"/>
          <w:sz w:val="32"/>
          <w:szCs w:val="32"/>
        </w:rPr>
        <w:t>1</w:t>
      </w:r>
      <w:r w:rsidRPr="00A015BF">
        <w:rPr>
          <w:rFonts w:eastAsia="仿宋_GB2312"/>
          <w:sz w:val="32"/>
          <w:szCs w:val="32"/>
        </w:rPr>
        <w:t>日起施行。</w:t>
      </w:r>
    </w:p>
    <w:p w:rsidR="0066211C" w:rsidRPr="00A015BF" w:rsidRDefault="0066211C">
      <w:pPr>
        <w:tabs>
          <w:tab w:val="left" w:pos="8789"/>
        </w:tabs>
        <w:adjustRightInd w:val="0"/>
        <w:snapToGrid w:val="0"/>
        <w:spacing w:line="560" w:lineRule="exact"/>
        <w:ind w:right="-59"/>
        <w:jc w:val="right"/>
        <w:rPr>
          <w:rFonts w:ascii="方正仿宋_GBK" w:eastAsia="仿宋_GB2312" w:hAnsi="方正仿宋_GBK" w:cs="方正仿宋_GBK"/>
          <w:bCs/>
          <w:spacing w:val="6"/>
          <w:sz w:val="32"/>
          <w:szCs w:val="32"/>
        </w:rPr>
      </w:pPr>
    </w:p>
    <w:sectPr w:rsidR="0066211C" w:rsidRPr="00A015BF" w:rsidSect="001A6182">
      <w:footerReference w:type="even" r:id="rId8"/>
      <w:footerReference w:type="default" r:id="rId9"/>
      <w:pgSz w:w="11906" w:h="16838"/>
      <w:pgMar w:top="2098" w:right="1588" w:bottom="1814" w:left="1588" w:header="851" w:footer="51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679" w:rsidRDefault="00FA7679">
      <w:r>
        <w:separator/>
      </w:r>
    </w:p>
  </w:endnote>
  <w:endnote w:type="continuationSeparator" w:id="0">
    <w:p w:rsidR="00FA7679" w:rsidRDefault="00FA7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249C6B4E-53FE-4A49-BB30-CF850CC0D05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D5F4B72B-5BEF-4C1F-B85A-A6A634E2FB29}"/>
  </w:font>
  <w:font w:name="方正仿宋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embedRegular r:id="rId3" w:subsetted="1" w:fontKey="{1126CA37-FC0C-4667-BB6E-C533AC7490D8}"/>
  </w:font>
  <w:font w:name="方正楷体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BC1B7D6C-B61F-4EB3-8819-5FCA3192D396}"/>
  </w:font>
  <w:font w:name="方正黑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43CF9E36-1AEA-46F8-BBA4-BB2E6536A8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11C" w:rsidRDefault="00B403C7">
    <w:pPr>
      <w:pStyle w:val="a6"/>
      <w:ind w:firstLineChars="100" w:firstLine="280"/>
      <w:rPr>
        <w:rFonts w:asciiTheme="minorEastAsia" w:eastAsiaTheme="minorEastAsia" w:hAnsiTheme="minorEastAsia"/>
        <w:sz w:val="28"/>
        <w:szCs w:val="28"/>
      </w:rPr>
    </w:pPr>
    <w:r>
      <w:rPr>
        <w:rFonts w:asciiTheme="minorEastAsia" w:eastAsiaTheme="minorEastAsia" w:hAnsiTheme="minorEastAsia"/>
        <w:sz w:val="28"/>
        <w:szCs w:val="28"/>
      </w:rPr>
      <w:t xml:space="preserve">— </w:t>
    </w:r>
    <w:sdt>
      <w:sdtPr>
        <w:rPr>
          <w:rFonts w:asciiTheme="minorEastAsia" w:eastAsiaTheme="minorEastAsia" w:hAnsiTheme="minorEastAsia"/>
          <w:sz w:val="28"/>
          <w:szCs w:val="28"/>
        </w:rPr>
        <w:id w:val="-1220508463"/>
      </w:sdtPr>
      <w:sdtEndPr/>
      <w:sdtContent>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PAGE   \* MERGEFORMAT</w:instrText>
        </w:r>
        <w:r>
          <w:rPr>
            <w:rFonts w:asciiTheme="minorEastAsia" w:eastAsiaTheme="minorEastAsia" w:hAnsiTheme="minorEastAsia"/>
            <w:sz w:val="28"/>
            <w:szCs w:val="28"/>
          </w:rPr>
          <w:fldChar w:fldCharType="separate"/>
        </w:r>
        <w:r w:rsidR="00E862F6" w:rsidRPr="00E862F6">
          <w:rPr>
            <w:rFonts w:asciiTheme="minorEastAsia" w:eastAsiaTheme="minorEastAsia" w:hAnsiTheme="minorEastAsia"/>
            <w:noProof/>
            <w:sz w:val="28"/>
            <w:szCs w:val="28"/>
            <w:lang w:val="zh-CN"/>
          </w:rPr>
          <w:t>14</w:t>
        </w:r>
        <w:r>
          <w:rPr>
            <w:rFonts w:asciiTheme="minorEastAsia" w:eastAsiaTheme="minorEastAsia" w:hAnsiTheme="minorEastAsia"/>
            <w:sz w:val="28"/>
            <w:szCs w:val="28"/>
          </w:rPr>
          <w:fldChar w:fldCharType="end"/>
        </w:r>
        <w:r>
          <w:rPr>
            <w:rFonts w:asciiTheme="minorEastAsia" w:eastAsiaTheme="minorEastAsia" w:hAnsiTheme="minorEastAsia"/>
            <w:sz w:val="28"/>
            <w:szCs w:val="28"/>
          </w:rPr>
          <w:t xml:space="preserve"> —</w:t>
        </w:r>
      </w:sdtContent>
    </w:sdt>
  </w:p>
  <w:p w:rsidR="0066211C" w:rsidRDefault="0066211C">
    <w:pPr>
      <w:pStyle w:val="a6"/>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305934004"/>
    </w:sdtPr>
    <w:sdtEndPr/>
    <w:sdtContent>
      <w:p w:rsidR="0066211C" w:rsidRDefault="00B403C7">
        <w:pPr>
          <w:pStyle w:val="a6"/>
          <w:wordWrap w:val="0"/>
          <w:jc w:val="right"/>
          <w:rPr>
            <w:sz w:val="28"/>
            <w:szCs w:val="28"/>
          </w:rPr>
        </w:pPr>
        <w:r w:rsidRPr="001A6182">
          <w:rPr>
            <w:rFonts w:asciiTheme="minorEastAsia" w:eastAsiaTheme="minorEastAsia" w:hAnsiTheme="minorEastAsia"/>
            <w:sz w:val="28"/>
            <w:szCs w:val="28"/>
          </w:rPr>
          <w:t xml:space="preserve">— </w:t>
        </w:r>
        <w:r w:rsidRPr="001A6182">
          <w:rPr>
            <w:rFonts w:asciiTheme="minorEastAsia" w:eastAsiaTheme="minorEastAsia" w:hAnsiTheme="minorEastAsia"/>
            <w:sz w:val="28"/>
            <w:szCs w:val="28"/>
          </w:rPr>
          <w:fldChar w:fldCharType="begin"/>
        </w:r>
        <w:r w:rsidRPr="001A6182">
          <w:rPr>
            <w:rFonts w:asciiTheme="minorEastAsia" w:eastAsiaTheme="minorEastAsia" w:hAnsiTheme="minorEastAsia"/>
            <w:sz w:val="28"/>
            <w:szCs w:val="28"/>
          </w:rPr>
          <w:instrText>PAGE   \* MERGEFORMAT</w:instrText>
        </w:r>
        <w:r w:rsidRPr="001A6182">
          <w:rPr>
            <w:rFonts w:asciiTheme="minorEastAsia" w:eastAsiaTheme="minorEastAsia" w:hAnsiTheme="minorEastAsia"/>
            <w:sz w:val="28"/>
            <w:szCs w:val="28"/>
          </w:rPr>
          <w:fldChar w:fldCharType="separate"/>
        </w:r>
        <w:r w:rsidR="00E862F6" w:rsidRPr="00E862F6">
          <w:rPr>
            <w:rFonts w:asciiTheme="minorEastAsia" w:eastAsiaTheme="minorEastAsia" w:hAnsiTheme="minorEastAsia"/>
            <w:noProof/>
            <w:sz w:val="28"/>
            <w:szCs w:val="28"/>
            <w:lang w:val="zh-CN"/>
          </w:rPr>
          <w:t>1</w:t>
        </w:r>
        <w:r w:rsidRPr="001A6182">
          <w:rPr>
            <w:rFonts w:asciiTheme="minorEastAsia" w:eastAsiaTheme="minorEastAsia" w:hAnsiTheme="minorEastAsia"/>
            <w:sz w:val="28"/>
            <w:szCs w:val="28"/>
          </w:rPr>
          <w:fldChar w:fldCharType="end"/>
        </w:r>
        <w:r w:rsidRPr="001A6182">
          <w:rPr>
            <w:rFonts w:asciiTheme="minorEastAsia" w:eastAsiaTheme="minorEastAsia" w:hAnsiTheme="minorEastAsia"/>
            <w:sz w:val="28"/>
            <w:szCs w:val="28"/>
          </w:rPr>
          <w:t xml:space="preserve"> —</w:t>
        </w:r>
        <w:r w:rsidRPr="001A6182">
          <w:rPr>
            <w:rFonts w:asciiTheme="minorEastAsia" w:eastAsiaTheme="minorEastAsia" w:hAnsiTheme="minorEastAsia" w:hint="eastAsia"/>
            <w:sz w:val="28"/>
            <w:szCs w:val="28"/>
          </w:rPr>
          <w:t xml:space="preserve">  </w:t>
        </w:r>
      </w:p>
    </w:sdtContent>
  </w:sdt>
  <w:p w:rsidR="0066211C" w:rsidRDefault="0066211C">
    <w:pPr>
      <w:pStyle w:val="a6"/>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679" w:rsidRDefault="00FA7679">
      <w:r>
        <w:separator/>
      </w:r>
    </w:p>
  </w:footnote>
  <w:footnote w:type="continuationSeparator" w:id="0">
    <w:p w:rsidR="00FA7679" w:rsidRDefault="00FA76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502"/>
    <w:rsid w:val="BEEFD265"/>
    <w:rsid w:val="00004397"/>
    <w:rsid w:val="000071F5"/>
    <w:rsid w:val="000202ED"/>
    <w:rsid w:val="00024CCC"/>
    <w:rsid w:val="000257CD"/>
    <w:rsid w:val="00026B34"/>
    <w:rsid w:val="000477ED"/>
    <w:rsid w:val="00066456"/>
    <w:rsid w:val="00082D1C"/>
    <w:rsid w:val="00086EB3"/>
    <w:rsid w:val="000B540B"/>
    <w:rsid w:val="000C1138"/>
    <w:rsid w:val="000C2021"/>
    <w:rsid w:val="000C41BB"/>
    <w:rsid w:val="000F36CA"/>
    <w:rsid w:val="0010300F"/>
    <w:rsid w:val="00112730"/>
    <w:rsid w:val="00157DAD"/>
    <w:rsid w:val="00161074"/>
    <w:rsid w:val="001638B1"/>
    <w:rsid w:val="00183DDB"/>
    <w:rsid w:val="0018543A"/>
    <w:rsid w:val="00186F20"/>
    <w:rsid w:val="00196B8B"/>
    <w:rsid w:val="00196E97"/>
    <w:rsid w:val="001A008F"/>
    <w:rsid w:val="001A28DE"/>
    <w:rsid w:val="001A34B0"/>
    <w:rsid w:val="001A6182"/>
    <w:rsid w:val="001B0B18"/>
    <w:rsid w:val="001B268C"/>
    <w:rsid w:val="001B5362"/>
    <w:rsid w:val="001B5FDB"/>
    <w:rsid w:val="001D1738"/>
    <w:rsid w:val="001E7A51"/>
    <w:rsid w:val="001F0FA7"/>
    <w:rsid w:val="001F1F71"/>
    <w:rsid w:val="0020169E"/>
    <w:rsid w:val="00216D30"/>
    <w:rsid w:val="00247AB0"/>
    <w:rsid w:val="00262A97"/>
    <w:rsid w:val="00264228"/>
    <w:rsid w:val="00264C5A"/>
    <w:rsid w:val="0027038B"/>
    <w:rsid w:val="00276361"/>
    <w:rsid w:val="002834D7"/>
    <w:rsid w:val="002A5396"/>
    <w:rsid w:val="002B291D"/>
    <w:rsid w:val="002C6DFC"/>
    <w:rsid w:val="002C7D6C"/>
    <w:rsid w:val="002E0A6E"/>
    <w:rsid w:val="002E1C05"/>
    <w:rsid w:val="002F3F53"/>
    <w:rsid w:val="00302911"/>
    <w:rsid w:val="003033D2"/>
    <w:rsid w:val="0035732B"/>
    <w:rsid w:val="003655C0"/>
    <w:rsid w:val="00373B21"/>
    <w:rsid w:val="00375347"/>
    <w:rsid w:val="003831F2"/>
    <w:rsid w:val="00385C67"/>
    <w:rsid w:val="003A473A"/>
    <w:rsid w:val="003B7C19"/>
    <w:rsid w:val="003C1C00"/>
    <w:rsid w:val="003C4AF5"/>
    <w:rsid w:val="003C4F31"/>
    <w:rsid w:val="003C634D"/>
    <w:rsid w:val="003C7C58"/>
    <w:rsid w:val="003D06A0"/>
    <w:rsid w:val="003E5296"/>
    <w:rsid w:val="003E7728"/>
    <w:rsid w:val="00422A93"/>
    <w:rsid w:val="0042669F"/>
    <w:rsid w:val="00435CB2"/>
    <w:rsid w:val="00446A9C"/>
    <w:rsid w:val="00462149"/>
    <w:rsid w:val="00465B29"/>
    <w:rsid w:val="00472913"/>
    <w:rsid w:val="0047524E"/>
    <w:rsid w:val="004779EA"/>
    <w:rsid w:val="004A2679"/>
    <w:rsid w:val="004D19AA"/>
    <w:rsid w:val="004D298F"/>
    <w:rsid w:val="004D52A6"/>
    <w:rsid w:val="004F7CF0"/>
    <w:rsid w:val="00517C9C"/>
    <w:rsid w:val="005204EC"/>
    <w:rsid w:val="00520D78"/>
    <w:rsid w:val="00522D29"/>
    <w:rsid w:val="00523271"/>
    <w:rsid w:val="005403DF"/>
    <w:rsid w:val="005532C1"/>
    <w:rsid w:val="00574D4D"/>
    <w:rsid w:val="0058488C"/>
    <w:rsid w:val="0059217C"/>
    <w:rsid w:val="0059241E"/>
    <w:rsid w:val="00597039"/>
    <w:rsid w:val="005C5E14"/>
    <w:rsid w:val="005D2EEA"/>
    <w:rsid w:val="005E13B6"/>
    <w:rsid w:val="005F0FF0"/>
    <w:rsid w:val="006074E3"/>
    <w:rsid w:val="00611C63"/>
    <w:rsid w:val="00612C2B"/>
    <w:rsid w:val="006177FC"/>
    <w:rsid w:val="00656A83"/>
    <w:rsid w:val="00661E7F"/>
    <w:rsid w:val="0066211C"/>
    <w:rsid w:val="006813F3"/>
    <w:rsid w:val="00692991"/>
    <w:rsid w:val="00692AF9"/>
    <w:rsid w:val="00697C2C"/>
    <w:rsid w:val="006B42D1"/>
    <w:rsid w:val="006C2714"/>
    <w:rsid w:val="006C3CE2"/>
    <w:rsid w:val="006D7D0F"/>
    <w:rsid w:val="006E2114"/>
    <w:rsid w:val="006E2BBA"/>
    <w:rsid w:val="006E5E6C"/>
    <w:rsid w:val="006F4225"/>
    <w:rsid w:val="0071020D"/>
    <w:rsid w:val="00712DEC"/>
    <w:rsid w:val="00725DE4"/>
    <w:rsid w:val="007261CC"/>
    <w:rsid w:val="0074095F"/>
    <w:rsid w:val="0074757B"/>
    <w:rsid w:val="007526F5"/>
    <w:rsid w:val="007627C2"/>
    <w:rsid w:val="00771D45"/>
    <w:rsid w:val="00782B6C"/>
    <w:rsid w:val="00794F77"/>
    <w:rsid w:val="007B13A0"/>
    <w:rsid w:val="007B3B66"/>
    <w:rsid w:val="007C08F6"/>
    <w:rsid w:val="007D0502"/>
    <w:rsid w:val="00804BE3"/>
    <w:rsid w:val="00804EA2"/>
    <w:rsid w:val="008250C6"/>
    <w:rsid w:val="0083026A"/>
    <w:rsid w:val="0083260E"/>
    <w:rsid w:val="00837F8B"/>
    <w:rsid w:val="00857B3D"/>
    <w:rsid w:val="008616EA"/>
    <w:rsid w:val="00865F22"/>
    <w:rsid w:val="00885075"/>
    <w:rsid w:val="008A2046"/>
    <w:rsid w:val="008D50ED"/>
    <w:rsid w:val="008E079E"/>
    <w:rsid w:val="008E30DF"/>
    <w:rsid w:val="008E51D4"/>
    <w:rsid w:val="008E6665"/>
    <w:rsid w:val="009045AE"/>
    <w:rsid w:val="00904BCD"/>
    <w:rsid w:val="0091328A"/>
    <w:rsid w:val="00921ACE"/>
    <w:rsid w:val="00927FEB"/>
    <w:rsid w:val="00940FF9"/>
    <w:rsid w:val="00962599"/>
    <w:rsid w:val="00967CE8"/>
    <w:rsid w:val="0097572D"/>
    <w:rsid w:val="0098116C"/>
    <w:rsid w:val="009923A8"/>
    <w:rsid w:val="009A4BFB"/>
    <w:rsid w:val="009B3E1A"/>
    <w:rsid w:val="009B5569"/>
    <w:rsid w:val="009B6487"/>
    <w:rsid w:val="009C2151"/>
    <w:rsid w:val="009D0744"/>
    <w:rsid w:val="009F142D"/>
    <w:rsid w:val="00A015BF"/>
    <w:rsid w:val="00A22F5C"/>
    <w:rsid w:val="00A43141"/>
    <w:rsid w:val="00A4771D"/>
    <w:rsid w:val="00A54D33"/>
    <w:rsid w:val="00A635E5"/>
    <w:rsid w:val="00A84CB2"/>
    <w:rsid w:val="00A85740"/>
    <w:rsid w:val="00A86661"/>
    <w:rsid w:val="00AA5B2F"/>
    <w:rsid w:val="00AB5228"/>
    <w:rsid w:val="00AC59A3"/>
    <w:rsid w:val="00AC7D3C"/>
    <w:rsid w:val="00AD359F"/>
    <w:rsid w:val="00AD4046"/>
    <w:rsid w:val="00B03779"/>
    <w:rsid w:val="00B05781"/>
    <w:rsid w:val="00B204FE"/>
    <w:rsid w:val="00B25E55"/>
    <w:rsid w:val="00B2611D"/>
    <w:rsid w:val="00B274E2"/>
    <w:rsid w:val="00B36406"/>
    <w:rsid w:val="00B403C7"/>
    <w:rsid w:val="00B4651A"/>
    <w:rsid w:val="00B55710"/>
    <w:rsid w:val="00B66B4B"/>
    <w:rsid w:val="00B72D4C"/>
    <w:rsid w:val="00B82C07"/>
    <w:rsid w:val="00B8358C"/>
    <w:rsid w:val="00B86C00"/>
    <w:rsid w:val="00B87B7C"/>
    <w:rsid w:val="00BA373F"/>
    <w:rsid w:val="00BB7B27"/>
    <w:rsid w:val="00BC4186"/>
    <w:rsid w:val="00BD2469"/>
    <w:rsid w:val="00BF5306"/>
    <w:rsid w:val="00C21A44"/>
    <w:rsid w:val="00C3413D"/>
    <w:rsid w:val="00C45D2A"/>
    <w:rsid w:val="00C606B2"/>
    <w:rsid w:val="00C951F8"/>
    <w:rsid w:val="00C9673C"/>
    <w:rsid w:val="00C96794"/>
    <w:rsid w:val="00CA7172"/>
    <w:rsid w:val="00CB145E"/>
    <w:rsid w:val="00CC7AA8"/>
    <w:rsid w:val="00CF12A5"/>
    <w:rsid w:val="00D00533"/>
    <w:rsid w:val="00D016CD"/>
    <w:rsid w:val="00D04D92"/>
    <w:rsid w:val="00D1296B"/>
    <w:rsid w:val="00D21958"/>
    <w:rsid w:val="00D219CF"/>
    <w:rsid w:val="00D23B57"/>
    <w:rsid w:val="00D25D6D"/>
    <w:rsid w:val="00D31375"/>
    <w:rsid w:val="00D765FF"/>
    <w:rsid w:val="00D87E2A"/>
    <w:rsid w:val="00D9248E"/>
    <w:rsid w:val="00D94427"/>
    <w:rsid w:val="00DA1862"/>
    <w:rsid w:val="00DB4862"/>
    <w:rsid w:val="00DD0D36"/>
    <w:rsid w:val="00DD241F"/>
    <w:rsid w:val="00DD3758"/>
    <w:rsid w:val="00E2662C"/>
    <w:rsid w:val="00E32875"/>
    <w:rsid w:val="00E378BB"/>
    <w:rsid w:val="00E40615"/>
    <w:rsid w:val="00E518E1"/>
    <w:rsid w:val="00E613A3"/>
    <w:rsid w:val="00E82D0F"/>
    <w:rsid w:val="00E862F6"/>
    <w:rsid w:val="00E90ECD"/>
    <w:rsid w:val="00E9712F"/>
    <w:rsid w:val="00EA05B0"/>
    <w:rsid w:val="00EB6D89"/>
    <w:rsid w:val="00EC719A"/>
    <w:rsid w:val="00ED2CD5"/>
    <w:rsid w:val="00EE6A41"/>
    <w:rsid w:val="00EF7E1B"/>
    <w:rsid w:val="00F2052B"/>
    <w:rsid w:val="00F2782B"/>
    <w:rsid w:val="00F33FF0"/>
    <w:rsid w:val="00F53F64"/>
    <w:rsid w:val="00F84B7B"/>
    <w:rsid w:val="00FA34D1"/>
    <w:rsid w:val="00FA7679"/>
    <w:rsid w:val="00FB7DE9"/>
    <w:rsid w:val="00FC0A7C"/>
    <w:rsid w:val="00FC5088"/>
    <w:rsid w:val="00FD2DEC"/>
    <w:rsid w:val="00FE23F4"/>
    <w:rsid w:val="00FE4E62"/>
    <w:rsid w:val="00FE610A"/>
    <w:rsid w:val="00FF04C0"/>
    <w:rsid w:val="00FF4844"/>
    <w:rsid w:val="012D4C0C"/>
    <w:rsid w:val="05766486"/>
    <w:rsid w:val="1BC12BB3"/>
    <w:rsid w:val="2AE06F2E"/>
    <w:rsid w:val="2E9D29C5"/>
    <w:rsid w:val="358D723E"/>
    <w:rsid w:val="36F8714D"/>
    <w:rsid w:val="4997646B"/>
    <w:rsid w:val="4A8351F9"/>
    <w:rsid w:val="5345792B"/>
    <w:rsid w:val="58520141"/>
    <w:rsid w:val="5C7B3CF0"/>
    <w:rsid w:val="5E242BED"/>
    <w:rsid w:val="5EF5568A"/>
    <w:rsid w:val="62A112D3"/>
    <w:rsid w:val="6F3F9EAF"/>
    <w:rsid w:val="7A483C33"/>
    <w:rsid w:val="7D715CD5"/>
    <w:rsid w:val="7DD60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7"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nhideWhenUsed="0" w:qFormat="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spacing w:after="120"/>
    </w:pPr>
  </w:style>
  <w:style w:type="paragraph" w:styleId="a4">
    <w:name w:val="Date"/>
    <w:basedOn w:val="a"/>
    <w:next w:val="a"/>
    <w:link w:val="Char"/>
    <w:uiPriority w:val="99"/>
    <w:unhideWhenUsed/>
    <w:qFormat/>
    <w:pPr>
      <w:ind w:leftChars="2500" w:left="100"/>
    </w:pPr>
  </w:style>
  <w:style w:type="paragraph" w:styleId="a5">
    <w:name w:val="Balloon Text"/>
    <w:basedOn w:val="a"/>
    <w:link w:val="Char0"/>
    <w:uiPriority w:val="99"/>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7">
    <w:name w:val="index 7"/>
    <w:basedOn w:val="a"/>
    <w:next w:val="a"/>
    <w:qFormat/>
    <w:pPr>
      <w:ind w:left="2520"/>
    </w:pPr>
  </w:style>
  <w:style w:type="paragraph" w:styleId="a8">
    <w:name w:val="Normal (Web)"/>
    <w:basedOn w:val="a"/>
    <w:next w:val="a5"/>
    <w:qFormat/>
    <w:pPr>
      <w:widowControl/>
      <w:spacing w:before="100" w:beforeAutospacing="1" w:after="100" w:afterAutospacing="1"/>
      <w:jc w:val="left"/>
    </w:pPr>
    <w:rPr>
      <w:rFonts w:ascii="宋体" w:hAnsi="宋体" w:cs="宋体"/>
      <w:kern w:val="0"/>
      <w:sz w:val="24"/>
    </w:rPr>
  </w:style>
  <w:style w:type="character" w:customStyle="1" w:styleId="Char0">
    <w:name w:val="批注框文本 Char"/>
    <w:basedOn w:val="a1"/>
    <w:link w:val="a5"/>
    <w:uiPriority w:val="99"/>
    <w:semiHidden/>
    <w:qFormat/>
    <w:rPr>
      <w:rFonts w:ascii="Times New Roman" w:eastAsia="宋体" w:hAnsi="Times New Roman" w:cs="Times New Roman"/>
      <w:sz w:val="18"/>
      <w:szCs w:val="18"/>
    </w:rPr>
  </w:style>
  <w:style w:type="character" w:customStyle="1" w:styleId="Char2">
    <w:name w:val="页眉 Char"/>
    <w:basedOn w:val="a1"/>
    <w:link w:val="a7"/>
    <w:uiPriority w:val="99"/>
    <w:qFormat/>
    <w:rPr>
      <w:rFonts w:ascii="Times New Roman" w:eastAsia="宋体" w:hAnsi="Times New Roman" w:cs="Times New Roman"/>
      <w:sz w:val="18"/>
      <w:szCs w:val="18"/>
    </w:rPr>
  </w:style>
  <w:style w:type="character" w:customStyle="1" w:styleId="Char1">
    <w:name w:val="页脚 Char"/>
    <w:basedOn w:val="a1"/>
    <w:link w:val="a6"/>
    <w:uiPriority w:val="99"/>
    <w:qFormat/>
    <w:rPr>
      <w:rFonts w:ascii="Times New Roman" w:eastAsia="宋体" w:hAnsi="Times New Roman" w:cs="Times New Roman"/>
      <w:sz w:val="18"/>
      <w:szCs w:val="18"/>
    </w:rPr>
  </w:style>
  <w:style w:type="paragraph" w:customStyle="1" w:styleId="ListParagraph1">
    <w:name w:val="List Paragraph1"/>
    <w:basedOn w:val="a"/>
    <w:next w:val="a5"/>
    <w:qFormat/>
    <w:pPr>
      <w:ind w:firstLineChars="200" w:firstLine="200"/>
    </w:pPr>
    <w:rPr>
      <w:rFonts w:ascii="Calibri" w:hAnsi="Calibri" w:cs="宋体"/>
      <w:szCs w:val="22"/>
    </w:rPr>
  </w:style>
  <w:style w:type="character" w:customStyle="1" w:styleId="1Char">
    <w:name w:val="标题 1 Char"/>
    <w:basedOn w:val="a1"/>
    <w:link w:val="1"/>
    <w:qFormat/>
    <w:rPr>
      <w:rFonts w:ascii="宋体" w:eastAsia="宋体" w:hAnsi="宋体" w:cs="宋体"/>
      <w:b/>
      <w:bCs/>
      <w:kern w:val="36"/>
      <w:sz w:val="48"/>
      <w:szCs w:val="48"/>
    </w:rPr>
  </w:style>
  <w:style w:type="paragraph" w:customStyle="1" w:styleId="Char3">
    <w:name w:val="Char"/>
    <w:basedOn w:val="a"/>
    <w:next w:val="a"/>
    <w:qFormat/>
    <w:pPr>
      <w:spacing w:line="360" w:lineRule="auto"/>
      <w:ind w:firstLineChars="200" w:firstLine="200"/>
    </w:pPr>
    <w:rPr>
      <w:rFonts w:ascii="宋体" w:eastAsia="仿宋_GB2312" w:hAnsi="宋体" w:cs="宋体"/>
      <w:sz w:val="24"/>
      <w:szCs w:val="28"/>
    </w:rPr>
  </w:style>
  <w:style w:type="character" w:customStyle="1" w:styleId="Char">
    <w:name w:val="日期 Char"/>
    <w:basedOn w:val="a1"/>
    <w:link w:val="a4"/>
    <w:uiPriority w:val="99"/>
    <w:semiHidden/>
    <w:qFormat/>
    <w:rPr>
      <w:rFonts w:ascii="Times New Roman" w:eastAsia="宋体" w:hAnsi="Times New Roman" w:cs="Times New Roman"/>
      <w:szCs w:val="24"/>
    </w:rPr>
  </w:style>
  <w:style w:type="paragraph" w:customStyle="1" w:styleId="10">
    <w:name w:val="列出段落1"/>
    <w:basedOn w:val="a"/>
    <w:uiPriority w:val="34"/>
    <w:qFormat/>
    <w:pPr>
      <w:ind w:firstLineChars="200" w:firstLine="420"/>
    </w:p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7"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nhideWhenUsed="0" w:qFormat="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spacing w:after="120"/>
    </w:pPr>
  </w:style>
  <w:style w:type="paragraph" w:styleId="a4">
    <w:name w:val="Date"/>
    <w:basedOn w:val="a"/>
    <w:next w:val="a"/>
    <w:link w:val="Char"/>
    <w:uiPriority w:val="99"/>
    <w:unhideWhenUsed/>
    <w:qFormat/>
    <w:pPr>
      <w:ind w:leftChars="2500" w:left="100"/>
    </w:pPr>
  </w:style>
  <w:style w:type="paragraph" w:styleId="a5">
    <w:name w:val="Balloon Text"/>
    <w:basedOn w:val="a"/>
    <w:link w:val="Char0"/>
    <w:uiPriority w:val="99"/>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7">
    <w:name w:val="index 7"/>
    <w:basedOn w:val="a"/>
    <w:next w:val="a"/>
    <w:qFormat/>
    <w:pPr>
      <w:ind w:left="2520"/>
    </w:pPr>
  </w:style>
  <w:style w:type="paragraph" w:styleId="a8">
    <w:name w:val="Normal (Web)"/>
    <w:basedOn w:val="a"/>
    <w:next w:val="a5"/>
    <w:qFormat/>
    <w:pPr>
      <w:widowControl/>
      <w:spacing w:before="100" w:beforeAutospacing="1" w:after="100" w:afterAutospacing="1"/>
      <w:jc w:val="left"/>
    </w:pPr>
    <w:rPr>
      <w:rFonts w:ascii="宋体" w:hAnsi="宋体" w:cs="宋体"/>
      <w:kern w:val="0"/>
      <w:sz w:val="24"/>
    </w:rPr>
  </w:style>
  <w:style w:type="character" w:customStyle="1" w:styleId="Char0">
    <w:name w:val="批注框文本 Char"/>
    <w:basedOn w:val="a1"/>
    <w:link w:val="a5"/>
    <w:uiPriority w:val="99"/>
    <w:semiHidden/>
    <w:qFormat/>
    <w:rPr>
      <w:rFonts w:ascii="Times New Roman" w:eastAsia="宋体" w:hAnsi="Times New Roman" w:cs="Times New Roman"/>
      <w:sz w:val="18"/>
      <w:szCs w:val="18"/>
    </w:rPr>
  </w:style>
  <w:style w:type="character" w:customStyle="1" w:styleId="Char2">
    <w:name w:val="页眉 Char"/>
    <w:basedOn w:val="a1"/>
    <w:link w:val="a7"/>
    <w:uiPriority w:val="99"/>
    <w:qFormat/>
    <w:rPr>
      <w:rFonts w:ascii="Times New Roman" w:eastAsia="宋体" w:hAnsi="Times New Roman" w:cs="Times New Roman"/>
      <w:sz w:val="18"/>
      <w:szCs w:val="18"/>
    </w:rPr>
  </w:style>
  <w:style w:type="character" w:customStyle="1" w:styleId="Char1">
    <w:name w:val="页脚 Char"/>
    <w:basedOn w:val="a1"/>
    <w:link w:val="a6"/>
    <w:uiPriority w:val="99"/>
    <w:qFormat/>
    <w:rPr>
      <w:rFonts w:ascii="Times New Roman" w:eastAsia="宋体" w:hAnsi="Times New Roman" w:cs="Times New Roman"/>
      <w:sz w:val="18"/>
      <w:szCs w:val="18"/>
    </w:rPr>
  </w:style>
  <w:style w:type="paragraph" w:customStyle="1" w:styleId="ListParagraph1">
    <w:name w:val="List Paragraph1"/>
    <w:basedOn w:val="a"/>
    <w:next w:val="a5"/>
    <w:qFormat/>
    <w:pPr>
      <w:ind w:firstLineChars="200" w:firstLine="200"/>
    </w:pPr>
    <w:rPr>
      <w:rFonts w:ascii="Calibri" w:hAnsi="Calibri" w:cs="宋体"/>
      <w:szCs w:val="22"/>
    </w:rPr>
  </w:style>
  <w:style w:type="character" w:customStyle="1" w:styleId="1Char">
    <w:name w:val="标题 1 Char"/>
    <w:basedOn w:val="a1"/>
    <w:link w:val="1"/>
    <w:qFormat/>
    <w:rPr>
      <w:rFonts w:ascii="宋体" w:eastAsia="宋体" w:hAnsi="宋体" w:cs="宋体"/>
      <w:b/>
      <w:bCs/>
      <w:kern w:val="36"/>
      <w:sz w:val="48"/>
      <w:szCs w:val="48"/>
    </w:rPr>
  </w:style>
  <w:style w:type="paragraph" w:customStyle="1" w:styleId="Char3">
    <w:name w:val="Char"/>
    <w:basedOn w:val="a"/>
    <w:next w:val="a"/>
    <w:qFormat/>
    <w:pPr>
      <w:spacing w:line="360" w:lineRule="auto"/>
      <w:ind w:firstLineChars="200" w:firstLine="200"/>
    </w:pPr>
    <w:rPr>
      <w:rFonts w:ascii="宋体" w:eastAsia="仿宋_GB2312" w:hAnsi="宋体" w:cs="宋体"/>
      <w:sz w:val="24"/>
      <w:szCs w:val="28"/>
    </w:rPr>
  </w:style>
  <w:style w:type="character" w:customStyle="1" w:styleId="Char">
    <w:name w:val="日期 Char"/>
    <w:basedOn w:val="a1"/>
    <w:link w:val="a4"/>
    <w:uiPriority w:val="99"/>
    <w:semiHidden/>
    <w:qFormat/>
    <w:rPr>
      <w:rFonts w:ascii="Times New Roman" w:eastAsia="宋体" w:hAnsi="Times New Roman" w:cs="Times New Roman"/>
      <w:szCs w:val="24"/>
    </w:rPr>
  </w:style>
  <w:style w:type="paragraph" w:customStyle="1" w:styleId="10">
    <w:name w:val="列出段落1"/>
    <w:basedOn w:val="a"/>
    <w:uiPriority w:val="34"/>
    <w:qFormat/>
    <w:pPr>
      <w:ind w:firstLineChars="200" w:firstLine="420"/>
    </w:p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6657</Words>
  <Characters>308</Characters>
  <Application>Microsoft Office Word</Application>
  <DocSecurity>0</DocSecurity>
  <Lines>2</Lines>
  <Paragraphs>13</Paragraphs>
  <ScaleCrop>false</ScaleCrop>
  <Company>Lenovo</Company>
  <LinksUpToDate>false</LinksUpToDate>
  <CharactersWithSpaces>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2021-05-29T07:30:00Z</cp:lastPrinted>
  <dcterms:created xsi:type="dcterms:W3CDTF">2021-05-11T07:42:00Z</dcterms:created>
  <dcterms:modified xsi:type="dcterms:W3CDTF">2021-08-18T04:22:00Z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2052-10.1.0.6171</vt:lpwstr>
  </property>
  <property fmtid="{D5CDD505-2E9C-101B-9397-08002B2CF9AE}" pid="3" name="KSOSaveFontToCloudKey">
    <vt:lpwstr>506852473_embed</vt:lpwstr>
  </property>
</Properties>
</file>