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贵阳市残疾人保障规定</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（2014年9月10日贵阳市第十三届人民代表大会常务委员会第二十七次会议通过  2014年11月28日贵州省第十二届人民代表大会常务委员会第十二次会议批准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2021年5月27日贵州省第十三届人民代表大会常务委员会第二十六次会议批准的《贵阳市人民代表大会常务委员会关于修改和废止部分地方性法规的决定》修正）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b/>
          <w:sz w:val="32"/>
          <w:szCs w:val="32"/>
        </w:rPr>
      </w:pPr>
      <w:r>
        <w:rPr>
          <w:rFonts w:ascii="仿宋_GB2312" w:hAnsi="仿宋" w:eastAsia="仿宋_GB2312" w:cs="仿宋"/>
          <w:b/>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为了维护残疾人的合法权益，根据《中华人民共和国残疾人保障法》等法律、法规的规定，结合本市实际，制定本规定。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本市行政区域内的单位和个人，应当遵守本规定。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县级以上人民政府残疾人工作委员会负责组织、协调、指导、督促有关部门做好残疾人工作，残疾人工作委员会成员单位应当每年向残疾人工作委员会报告履行职责情况。</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残疾人工作委员会的办事机构设在同级残疾人联合会，负责日常工作，承担同级人民政府委托的任务。</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乡（镇）人民政府、</w:t>
      </w:r>
      <w:r>
        <w:rPr>
          <w:rFonts w:ascii="仿宋_GB2312" w:hAnsi="宋体" w:eastAsia="仿宋_GB2312" w:cs="仿宋_GB2312"/>
          <w:sz w:val="32"/>
          <w:szCs w:val="32"/>
          <w:lang w:bidi="ar"/>
        </w:rPr>
        <w:t>街道办事处</w:t>
      </w:r>
      <w:r>
        <w:rPr>
          <w:rFonts w:ascii="仿宋_GB2312" w:hAnsi="仿宋" w:eastAsia="仿宋_GB2312" w:cs="仿宋_GB2312"/>
          <w:sz w:val="32"/>
          <w:szCs w:val="32"/>
          <w:lang w:bidi="ar"/>
        </w:rPr>
        <w:t>应当明确具体机构，选聘专职人员，做好残疾人服务工作。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本市户籍的残疾人申办《中华人民共和国残疾人证》（以下简称残疾人证），按照规定程序进行残疾评定符合残疾标准的，</w:t>
      </w:r>
      <w:r>
        <w:rPr>
          <w:rFonts w:ascii="仿宋_GB2312" w:eastAsia="仿宋_GB2312" w:cs="仿宋_GB2312"/>
          <w:color w:val="000000"/>
          <w:sz w:val="32"/>
          <w:szCs w:val="32"/>
          <w:lang w:bidi="ar"/>
        </w:rPr>
        <w:t>由</w:t>
      </w:r>
      <w:r>
        <w:rPr>
          <w:rFonts w:ascii="仿宋_GB2312" w:hAnsi="宋体" w:eastAsia="仿宋_GB2312" w:cs="仿宋_GB2312"/>
          <w:sz w:val="32"/>
          <w:szCs w:val="32"/>
          <w:lang w:bidi="ar"/>
        </w:rPr>
        <w:t>县级</w:t>
      </w:r>
      <w:r>
        <w:rPr>
          <w:rFonts w:ascii="仿宋_GB2312" w:eastAsia="仿宋_GB2312" w:cs="仿宋_GB2312"/>
          <w:color w:val="000000"/>
          <w:sz w:val="32"/>
          <w:szCs w:val="32"/>
          <w:lang w:bidi="ar"/>
        </w:rPr>
        <w:t>残疾人联合会</w:t>
      </w:r>
      <w:r>
        <w:rPr>
          <w:rFonts w:ascii="仿宋_GB2312" w:hAnsi="仿宋" w:eastAsia="仿宋_GB2312" w:cs="仿宋_GB2312"/>
          <w:sz w:val="32"/>
          <w:szCs w:val="32"/>
          <w:lang w:bidi="ar"/>
        </w:rPr>
        <w:t>审核后免费发放。</w:t>
      </w:r>
      <w:r>
        <w:rPr>
          <w:rFonts w:ascii="仿宋_GB2312" w:hAnsi="仿宋" w:eastAsia="仿宋_GB2312" w:cs="仿宋"/>
          <w:sz w:val="32"/>
          <w:szCs w:val="32"/>
          <w:lang w:bidi="ar"/>
        </w:rPr>
        <w:t xml:space="preserve"> </w:t>
      </w:r>
      <w:r>
        <w:rPr>
          <w:rFonts w:hint="eastAsia" w:ascii="宋体" w:hAnsi="宋体" w:cs="宋体"/>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县级以上人民政府应当对残疾人的康复训练实施补助，对贫困残疾人免费配置基本辅助器具，所需经费纳入同级财政预算。</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县级以上人民政府应当建立特殊教育学校，改善现有特殊教育学校办学条件，满足残疾儿童少年接受义务教育要求。</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实施义务教育的学校，应当按照就近、便利的原则接收具有接受普通教育能力的适龄残疾儿童少年随班就读。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对义务教育阶段在读残疾学生、贫困残疾人家庭的学生，免收校服费，给予寄宿生活费等补助。该费用由其学校所在地的教育</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部门报同级财政承担。</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第七条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对接受</w:t>
      </w:r>
      <w:r>
        <w:rPr>
          <w:rFonts w:ascii="仿宋_GB2312" w:hAnsi="宋体" w:eastAsia="仿宋_GB2312" w:cs="仿宋_GB2312"/>
          <w:sz w:val="32"/>
          <w:szCs w:val="32"/>
          <w:lang w:bidi="ar"/>
        </w:rPr>
        <w:t>学前教育的贫困残疾儿童和</w:t>
      </w:r>
      <w:r>
        <w:rPr>
          <w:rFonts w:ascii="仿宋_GB2312" w:hAnsi="仿宋" w:eastAsia="仿宋_GB2312" w:cs="仿宋_GB2312"/>
          <w:sz w:val="32"/>
          <w:szCs w:val="32"/>
          <w:lang w:bidi="ar"/>
        </w:rPr>
        <w:t>普通高级</w:t>
      </w:r>
      <w:r>
        <w:rPr>
          <w:rFonts w:ascii="仿宋_GB2312" w:hAnsi="宋体" w:eastAsia="仿宋_GB2312" w:cs="仿宋_GB2312"/>
          <w:sz w:val="32"/>
          <w:szCs w:val="32"/>
          <w:lang w:bidi="ar"/>
        </w:rPr>
        <w:t>（中职）及</w:t>
      </w:r>
      <w:r>
        <w:rPr>
          <w:rFonts w:ascii="仿宋_GB2312" w:hAnsi="仿宋" w:eastAsia="仿宋_GB2312" w:cs="仿宋_GB2312"/>
          <w:sz w:val="32"/>
          <w:szCs w:val="32"/>
          <w:lang w:bidi="ar"/>
        </w:rPr>
        <w:t>以上教育的残疾学生</w:t>
      </w:r>
      <w:r>
        <w:rPr>
          <w:rFonts w:ascii="仿宋_GB2312" w:hAnsi="宋体" w:eastAsia="仿宋_GB2312" w:cs="仿宋_GB2312"/>
          <w:sz w:val="32"/>
          <w:szCs w:val="32"/>
          <w:lang w:bidi="ar"/>
        </w:rPr>
        <w:t>以及</w:t>
      </w:r>
      <w:r>
        <w:rPr>
          <w:rFonts w:ascii="仿宋_GB2312" w:hAnsi="仿宋" w:eastAsia="仿宋_GB2312" w:cs="仿宋_GB2312"/>
          <w:sz w:val="32"/>
          <w:szCs w:val="32"/>
          <w:lang w:bidi="ar"/>
        </w:rPr>
        <w:t>贫困残疾人家庭</w:t>
      </w:r>
      <w:r>
        <w:rPr>
          <w:rFonts w:ascii="仿宋_GB2312" w:hAnsi="宋体" w:eastAsia="仿宋_GB2312" w:cs="仿宋_GB2312"/>
          <w:sz w:val="32"/>
          <w:szCs w:val="32"/>
          <w:lang w:bidi="ar"/>
        </w:rPr>
        <w:t>中接受学前教育、高级（中职）及以上教育</w:t>
      </w:r>
      <w:r>
        <w:rPr>
          <w:rFonts w:ascii="仿宋_GB2312" w:hAnsi="仿宋" w:eastAsia="仿宋_GB2312" w:cs="仿宋_GB2312"/>
          <w:sz w:val="32"/>
          <w:szCs w:val="32"/>
          <w:lang w:bidi="ar"/>
        </w:rPr>
        <w:t>的</w:t>
      </w:r>
      <w:r>
        <w:rPr>
          <w:rFonts w:ascii="仿宋_GB2312" w:hAnsi="宋体" w:eastAsia="仿宋_GB2312" w:cs="仿宋_GB2312"/>
          <w:sz w:val="32"/>
          <w:szCs w:val="32"/>
          <w:lang w:bidi="ar"/>
        </w:rPr>
        <w:t>子女</w:t>
      </w:r>
      <w:r>
        <w:rPr>
          <w:rFonts w:ascii="仿宋_GB2312" w:hAnsi="仿宋" w:eastAsia="仿宋_GB2312" w:cs="仿宋_GB2312"/>
          <w:sz w:val="32"/>
          <w:szCs w:val="32"/>
          <w:lang w:bidi="ar"/>
        </w:rPr>
        <w:t>，</w:t>
      </w:r>
      <w:r>
        <w:rPr>
          <w:rFonts w:ascii="仿宋_GB2312" w:hAnsi="宋体" w:eastAsia="仿宋_GB2312" w:cs="仿宋_GB2312"/>
          <w:sz w:val="32"/>
          <w:szCs w:val="32"/>
          <w:lang w:bidi="ar"/>
        </w:rPr>
        <w:t>县级</w:t>
      </w:r>
      <w:r>
        <w:rPr>
          <w:rFonts w:ascii="仿宋_GB2312" w:hAnsi="仿宋" w:eastAsia="仿宋_GB2312" w:cs="仿宋_GB2312"/>
          <w:sz w:val="32"/>
          <w:szCs w:val="32"/>
          <w:lang w:bidi="ar"/>
        </w:rPr>
        <w:t>残疾人联合会应当按年度给予补助。</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对参加成人高等教育并且完成大专以上学业取得文凭的残疾人、贫困残疾人家庭子女，县级残疾人联合会应当给予适当奖励。</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各级人民政府开发或者购买的公益性岗位中，应当有适合残疾人就业的岗位，并且按照不低于总岗位</w:t>
      </w:r>
      <w:r>
        <w:rPr>
          <w:rFonts w:ascii="仿宋_GB2312" w:hAnsi="仿宋" w:eastAsia="仿宋_GB2312" w:cs="仿宋"/>
          <w:sz w:val="32"/>
          <w:szCs w:val="32"/>
          <w:lang w:bidi="ar"/>
        </w:rPr>
        <w:t>8%的比例安排残疾人就业。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宋体" w:eastAsia="仿宋_GB2312" w:cs="仿宋"/>
          <w:sz w:val="32"/>
          <w:szCs w:val="32"/>
        </w:rPr>
      </w:pPr>
      <w:r>
        <w:rPr>
          <w:rFonts w:ascii="仿宋_GB2312" w:hAnsi="宋体" w:eastAsia="仿宋_GB2312" w:cs="仿宋_GB2312"/>
          <w:sz w:val="32"/>
          <w:szCs w:val="32"/>
          <w:lang w:bidi="ar"/>
        </w:rPr>
        <w:t>对符合条件的创业就业残疾人，残疾人联合会应当给予扶持。对有培训和就业需求的残疾人，相关部门应当免费给予职业技能培训。</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机关、团体、企业、事业单位和民办非企业单位（以下简称用人单位），应当按照不低于在职职工总数</w:t>
      </w:r>
      <w:r>
        <w:rPr>
          <w:rFonts w:ascii="仿宋_GB2312" w:hAnsi="仿宋" w:eastAsia="仿宋_GB2312" w:cs="仿宋"/>
          <w:sz w:val="32"/>
          <w:szCs w:val="32"/>
          <w:lang w:bidi="ar"/>
        </w:rPr>
        <w:t>1.5%的比例，安排有一定劳动能力的残疾人就业，并且为其选择适当的工种和岗位。安排一名重度残疾人的，按照两名残疾人计算。</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用人单位安排残疾人就业的，应当自新招录（聘）用之日起</w:t>
      </w:r>
      <w:r>
        <w:rPr>
          <w:rFonts w:ascii="仿宋_GB2312" w:hAnsi="仿宋" w:eastAsia="仿宋_GB2312" w:cs="仿宋"/>
          <w:sz w:val="32"/>
          <w:szCs w:val="32"/>
          <w:lang w:bidi="ar"/>
        </w:rPr>
        <w:t>3个月内用书面、网络、电话等方式告知市、</w:t>
      </w:r>
      <w:r>
        <w:rPr>
          <w:rFonts w:ascii="仿宋_GB2312" w:hAnsi="宋体" w:eastAsia="仿宋_GB2312" w:cs="仿宋_GB2312"/>
          <w:sz w:val="32"/>
          <w:szCs w:val="32"/>
          <w:lang w:bidi="ar"/>
        </w:rPr>
        <w:t>县级</w:t>
      </w:r>
      <w:r>
        <w:rPr>
          <w:rFonts w:ascii="仿宋_GB2312" w:hAnsi="仿宋" w:eastAsia="仿宋_GB2312" w:cs="仿宋_GB2312"/>
          <w:sz w:val="32"/>
          <w:szCs w:val="32"/>
          <w:lang w:bidi="ar"/>
        </w:rPr>
        <w:t>残疾人联合会；残疾人联合会应当采取上门服务、入户调查等方式主动进行核实，并且提供相关服务。</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县级以上人民政府人力资源社会保障</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部门应当对辖区内用人单位安排残疾人就业的情况进行年度统计，并且将情况通报同级残疾人联合会。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未安排或者安排残疾人就业未达到规定比例的，应当按照年度缴纳残疾人就业保障金，缴纳标准</w:t>
      </w:r>
      <w:r>
        <w:rPr>
          <w:rFonts w:ascii="仿宋_GB2312" w:hAnsi="宋体" w:eastAsia="仿宋_GB2312" w:cs="仿宋_GB2312"/>
          <w:sz w:val="32"/>
          <w:szCs w:val="32"/>
          <w:lang w:bidi="ar"/>
        </w:rPr>
        <w:t>、</w:t>
      </w:r>
      <w:r>
        <w:rPr>
          <w:rFonts w:ascii="仿宋_GB2312" w:hAnsi="仿宋" w:eastAsia="仿宋_GB2312" w:cs="仿宋_GB2312"/>
          <w:sz w:val="32"/>
          <w:szCs w:val="32"/>
          <w:lang w:bidi="ar"/>
        </w:rPr>
        <w:t>具体征收、使用和管理按照国家和省的有关规定执行。</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县级以上人民政府应当在每年社会福利彩票公益金和体育彩票公益金的地方留存部分中分别划出不低于</w:t>
      </w:r>
      <w:r>
        <w:rPr>
          <w:rFonts w:ascii="仿宋_GB2312" w:hAnsi="仿宋" w:eastAsia="仿宋_GB2312" w:cs="仿宋"/>
          <w:sz w:val="32"/>
          <w:szCs w:val="32"/>
          <w:lang w:bidi="ar"/>
        </w:rPr>
        <w:t>15%的比例，专项支持残疾人福利事业和体育事业的发展。</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按照前款规定比例划出的彩票公益金，县级以上人民政府财政部门应当按照不低于</w:t>
      </w:r>
      <w:r>
        <w:rPr>
          <w:rFonts w:ascii="仿宋_GB2312" w:hAnsi="仿宋" w:eastAsia="仿宋_GB2312" w:cs="仿宋"/>
          <w:sz w:val="32"/>
          <w:szCs w:val="32"/>
          <w:lang w:bidi="ar"/>
        </w:rPr>
        <w:t>1/3的比例全额拨付到同级残疾人联合会使用。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残疾人联合会和县级以上人民政府民政、体育等有关主管部门，应当每年向社会公布残疾人就业保障金的征缴、使用情况和彩票公益金的划出、拨付、使用情况，并且接受同级人民政府财政、审计等有关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部门的监督检查。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县级以上人民政府应当定期举办残疾人文艺演出、艺术作品展、职业技能比赛和体育运动会等活动，丰富残疾人精神文化生活。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残疾人凭残疾人证在本市享受下列待遇：</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（一）优先搭乘各类公共交通工具，办理有关手续后免费乘坐城区公共汽车、城市轨道交通车辆；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（二）公共停车场所免费停放残疾人机动轮椅车，对下肢残疾人其他代步专用交通工具实行</w:t>
      </w:r>
      <w:r>
        <w:rPr>
          <w:rFonts w:ascii="仿宋_GB2312" w:hAnsi="仿宋" w:eastAsia="仿宋_GB2312" w:cs="仿宋"/>
          <w:sz w:val="32"/>
          <w:szCs w:val="32"/>
          <w:lang w:bidi="ar"/>
        </w:rPr>
        <w:t>2小时内免费停放和超时减半收费；</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（三）优先就诊，免交挂号费和普通注射费；</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免费进入爱国主义教育基地、烈士陵园、展览馆、科技馆、纪念馆、文化馆、图书馆、体育场馆、博物馆、群众艺术馆、公园、动物园、植物园、风景游览区等场所，举办商业性活动时除外。重度残疾人可以有</w:t>
      </w:r>
      <w:r>
        <w:rPr>
          <w:rFonts w:ascii="仿宋_GB2312" w:hAnsi="仿宋" w:eastAsia="仿宋_GB2312" w:cs="仿宋"/>
          <w:sz w:val="32"/>
          <w:szCs w:val="32"/>
          <w:lang w:bidi="ar"/>
        </w:rPr>
        <w:t>1名陪护人员免费陪同进入；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（五）安装电话、宽带、燃气、水表、电表、有线电视，按照规定减免安装费、开户费和使用费。</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各级人民政府应当将符合低保条件的残疾人纳入城乡最低生活保障范围，实行应保尽保。</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对已经纳入最低生活保障范围的残疾人，临时就业的不停发低保金；处于就业试用期的，自劳动合同规定的试用之日起</w:t>
      </w:r>
      <w:r>
        <w:rPr>
          <w:rFonts w:ascii="仿宋_GB2312" w:hAnsi="仿宋" w:eastAsia="仿宋_GB2312" w:cs="仿宋"/>
          <w:sz w:val="32"/>
          <w:szCs w:val="32"/>
          <w:lang w:bidi="ar"/>
        </w:rPr>
        <w:t>6个月内不停发低保金。</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对家庭经济状况不符合城乡低保条件的已经成年并且丧失劳动能力的重度残疾人，按照</w:t>
      </w:r>
      <w:r>
        <w:rPr>
          <w:rFonts w:ascii="仿宋_GB2312" w:hAnsi="宋体" w:eastAsia="仿宋_GB2312" w:cs="仿宋_GB2312"/>
          <w:sz w:val="32"/>
          <w:szCs w:val="32"/>
          <w:lang w:bidi="ar"/>
        </w:rPr>
        <w:t>单人户纳入城乡低保保障范围</w:t>
      </w:r>
      <w:r>
        <w:rPr>
          <w:rFonts w:ascii="仿宋_GB2312" w:hAnsi="仿宋" w:eastAsia="仿宋_GB2312" w:cs="仿宋_GB2312"/>
          <w:sz w:val="32"/>
          <w:szCs w:val="32"/>
          <w:lang w:bidi="ar"/>
        </w:rPr>
        <w:t>。</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dstrike/>
          <w:sz w:val="32"/>
          <w:szCs w:val="32"/>
        </w:rPr>
      </w:pPr>
      <w:r>
        <w:rPr>
          <w:rFonts w:ascii="仿宋_GB2312" w:hAnsi="仿宋" w:eastAsia="仿宋_GB2312" w:cs="仿宋_GB2312"/>
          <w:sz w:val="32"/>
          <w:szCs w:val="32"/>
          <w:lang w:bidi="ar"/>
        </w:rPr>
        <w:t>各级财政应当按照规定标准发放困难残疾人生活补贴、重度残疾人护理补贴。</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县级以上人民政府民政部门和乡（镇）人民政府，应当对一户多残、老残一体、重度残疾等特殊困难家庭和低收入家庭，因重大疾病、人身意外伤害等出现突发性、临时性生活困难的，按照有关规定给予临时救助。</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对残疾人家庭的房屋征收补偿安置，应当遵循就地、就近和方便生活的原则；对纳入最低生活保障范围的残疾人，还应当按照规定标准提高</w:t>
      </w:r>
      <w:r>
        <w:rPr>
          <w:rFonts w:ascii="仿宋_GB2312" w:hAnsi="仿宋" w:eastAsia="仿宋_GB2312" w:cs="仿宋"/>
          <w:sz w:val="32"/>
          <w:szCs w:val="32"/>
          <w:lang w:bidi="ar"/>
        </w:rPr>
        <w:t>10%的比例发给临时补助费、停业补助费。</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残疾人需要法律援助且符合条件的，法律援助机构应当提供法律援助。</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县级以上人民政府的法律援助机构，应当定期选派法律援助人员到同级残疾人联合会，为残疾人提供免费的日常法律咨询服务。</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第十九条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残疾人教育、文化、康复等建设项目的无障碍设施规划设计方案，县级以上人民政府城乡规划</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部门应当征求同级残疾人联合会的意见。</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大中型公共场所的公共停车场和大型居住区的停车场，应当按照无障碍设施工程建设标准和不少于总停车位</w:t>
      </w:r>
      <w:r>
        <w:rPr>
          <w:rFonts w:ascii="仿宋_GB2312" w:hAnsi="仿宋" w:eastAsia="仿宋_GB2312" w:cs="仿宋"/>
          <w:sz w:val="32"/>
          <w:szCs w:val="32"/>
          <w:lang w:bidi="ar"/>
        </w:rPr>
        <w:t>2%的比例，在方便下肢残疾人通行的区域设置无障碍停车位，不足1个的应当设置1个，其他车辆不得占用。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第二十一条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违反本规定第二十条规定，未按照规定比例设置无障碍停车位的，由</w:t>
      </w:r>
      <w:r>
        <w:rPr>
          <w:rFonts w:ascii="仿宋_GB2312" w:hAnsi="宋体" w:eastAsia="仿宋_GB2312" w:cs="仿宋_GB2312"/>
          <w:sz w:val="32"/>
          <w:szCs w:val="32"/>
          <w:lang w:bidi="ar"/>
        </w:rPr>
        <w:t>综合行政执法</w:t>
      </w:r>
      <w:r>
        <w:rPr>
          <w:rFonts w:ascii="仿宋_GB2312" w:hAnsi="仿宋" w:eastAsia="仿宋_GB2312" w:cs="仿宋_GB2312"/>
          <w:sz w:val="32"/>
          <w:szCs w:val="32"/>
          <w:lang w:bidi="ar"/>
        </w:rPr>
        <w:t>部门责令限期改正；逾期不改正的，处以</w:t>
      </w:r>
      <w:r>
        <w:rPr>
          <w:rFonts w:ascii="仿宋_GB2312" w:hAnsi="仿宋" w:eastAsia="仿宋_GB2312" w:cs="仿宋"/>
          <w:sz w:val="32"/>
          <w:szCs w:val="32"/>
          <w:lang w:bidi="ar"/>
        </w:rPr>
        <w:t>2000元以上1万元以下的罚款。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非肢体残疾人驾驶或者乘坐的机动车占用无障碍停车位的，公共停车场管理人员应当予以制止；拒不改正的，由</w:t>
      </w:r>
      <w:r>
        <w:rPr>
          <w:rFonts w:ascii="仿宋_GB2312" w:hAnsi="宋体" w:eastAsia="仿宋_GB2312" w:cs="仿宋_GB2312"/>
          <w:sz w:val="32"/>
          <w:szCs w:val="32"/>
          <w:lang w:bidi="ar"/>
        </w:rPr>
        <w:t>停车场主管部门</w:t>
      </w:r>
      <w:r>
        <w:rPr>
          <w:rFonts w:ascii="仿宋_GB2312" w:hAnsi="仿宋" w:eastAsia="仿宋_GB2312" w:cs="仿宋_GB2312"/>
          <w:sz w:val="32"/>
          <w:szCs w:val="32"/>
          <w:lang w:bidi="ar"/>
        </w:rPr>
        <w:t>处以</w:t>
      </w:r>
      <w:r>
        <w:rPr>
          <w:rFonts w:ascii="仿宋_GB2312" w:hAnsi="仿宋" w:eastAsia="仿宋_GB2312" w:cs="仿宋"/>
          <w:sz w:val="32"/>
          <w:szCs w:val="32"/>
          <w:lang w:bidi="ar"/>
        </w:rPr>
        <w:t>100元罚款。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国家机关、残疾人联合会、</w:t>
      </w:r>
      <w:r>
        <w:rPr>
          <w:rFonts w:ascii="仿宋_GB2312" w:hAnsi="宋体" w:eastAsia="仿宋_GB2312" w:cs="仿宋_GB2312"/>
          <w:sz w:val="32"/>
          <w:szCs w:val="32"/>
          <w:lang w:bidi="ar"/>
        </w:rPr>
        <w:t>街道办事处</w:t>
      </w:r>
      <w:r>
        <w:rPr>
          <w:rFonts w:ascii="仿宋_GB2312" w:hAnsi="仿宋" w:eastAsia="仿宋_GB2312" w:cs="仿宋_GB2312"/>
          <w:sz w:val="32"/>
          <w:szCs w:val="32"/>
          <w:lang w:bidi="ar"/>
        </w:rPr>
        <w:t>和有关事业组织及其工作人员在履行职责中，有下列情形之一，尚不构成犯罪的，对直接负责的主管人员和其他直接责任人员依法</w:t>
      </w:r>
      <w:r>
        <w:rPr>
          <w:rFonts w:ascii="仿宋_GB2312" w:eastAsia="仿宋_GB2312" w:cs="仿宋_GB2312"/>
          <w:color w:val="000000"/>
          <w:sz w:val="32"/>
          <w:szCs w:val="32"/>
          <w:lang w:bidi="ar"/>
        </w:rPr>
        <w:t>给予处分</w:t>
      </w:r>
      <w:r>
        <w:rPr>
          <w:rFonts w:ascii="仿宋_GB2312" w:hAnsi="仿宋" w:eastAsia="仿宋_GB2312" w:cs="仿宋_GB2312"/>
          <w:sz w:val="32"/>
          <w:szCs w:val="32"/>
          <w:lang w:bidi="ar"/>
        </w:rPr>
        <w:t>：</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（一）不按照规定审核、发放残疾人证的；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（二）不按照规定实施扶持照顾和免收残疾人相关费用的；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（三）拒不招收符合条件的残疾人入学的；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（四）不按照规定实施残疾人补贴、补助、奖励以及生活救济救助的；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（五）不按照规定安排残疾人就业或者缴纳残疾人就业保障金的；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（六）不按照规定征缴、拨付、使用、管理、公布残疾人就业保障金和彩票公益金的；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（七）有关建设项目的无障碍设施规划设计方案未征求残疾人联合会意见造成不良后果的；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（八）其他不履行或者不认真履行残疾人权益保障职责，导致残疾人权益受到侵犯，或者滥用职权、玩忽职守、徇私舞弊、索贿受贿的。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本规定中的有关补助、奖励等标准，国家和省没有规定，或者国家和省虽有规定但本市需要提高标准的，由残疾人联合会会同</w:t>
      </w:r>
      <w:r>
        <w:rPr>
          <w:rFonts w:ascii="仿宋_GB2312" w:hAnsi="宋体" w:eastAsia="仿宋_GB2312" w:cs="仿宋_GB2312"/>
          <w:sz w:val="32"/>
          <w:szCs w:val="32"/>
          <w:lang w:bidi="ar"/>
        </w:rPr>
        <w:t>有关主管</w:t>
      </w:r>
      <w:r>
        <w:rPr>
          <w:rFonts w:ascii="仿宋_GB2312" w:hAnsi="仿宋" w:eastAsia="仿宋_GB2312" w:cs="仿宋_GB2312"/>
          <w:sz w:val="32"/>
          <w:szCs w:val="32"/>
          <w:lang w:bidi="ar"/>
        </w:rPr>
        <w:t>部门拟定，报同级人民政府批准后公布。</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本规定自</w:t>
      </w:r>
      <w:r>
        <w:rPr>
          <w:rFonts w:ascii="仿宋_GB2312" w:hAnsi="仿宋" w:eastAsia="仿宋_GB2312" w:cs="仿宋"/>
          <w:sz w:val="32"/>
          <w:szCs w:val="32"/>
          <w:lang w:bidi="ar"/>
        </w:rPr>
        <w:t>2015年1月1日起施行。2001年2月28日贵阳市第十届人民代表大会常务委员会第二十八次会议通过，2001年5月25日贵州省第九届人民代表大会常务委员会第二十二次会议批准的《贵阳市残疾人保障规定》同时废止。</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bookmarkStart w:id="0" w:name="_GoBack"/>
      <w:bookmarkEnd w:id="0"/>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3FA61A9"/>
    <w:rsid w:val="065E09E0"/>
    <w:rsid w:val="099F4AE8"/>
    <w:rsid w:val="0A147AF7"/>
    <w:rsid w:val="0AA7401B"/>
    <w:rsid w:val="0C342DC2"/>
    <w:rsid w:val="0D7556A5"/>
    <w:rsid w:val="0E0F27A7"/>
    <w:rsid w:val="103B6754"/>
    <w:rsid w:val="10DA507E"/>
    <w:rsid w:val="11455594"/>
    <w:rsid w:val="134C7F01"/>
    <w:rsid w:val="1391023B"/>
    <w:rsid w:val="143F4C4D"/>
    <w:rsid w:val="14A36331"/>
    <w:rsid w:val="14EB4464"/>
    <w:rsid w:val="17FF2ECA"/>
    <w:rsid w:val="185D28CB"/>
    <w:rsid w:val="19E555AB"/>
    <w:rsid w:val="1FE973F2"/>
    <w:rsid w:val="20FA6181"/>
    <w:rsid w:val="21EA4CC7"/>
    <w:rsid w:val="22465C8A"/>
    <w:rsid w:val="23991397"/>
    <w:rsid w:val="290C5130"/>
    <w:rsid w:val="306D2551"/>
    <w:rsid w:val="32B01C29"/>
    <w:rsid w:val="342C46EF"/>
    <w:rsid w:val="3442391E"/>
    <w:rsid w:val="35336E7D"/>
    <w:rsid w:val="3664779D"/>
    <w:rsid w:val="375B0DE6"/>
    <w:rsid w:val="39DF0A9D"/>
    <w:rsid w:val="39E314DB"/>
    <w:rsid w:val="3AA92761"/>
    <w:rsid w:val="3D460486"/>
    <w:rsid w:val="3F6D52CB"/>
    <w:rsid w:val="41585CD6"/>
    <w:rsid w:val="41DF201A"/>
    <w:rsid w:val="431A335F"/>
    <w:rsid w:val="434A3B11"/>
    <w:rsid w:val="440452A1"/>
    <w:rsid w:val="464A3F0D"/>
    <w:rsid w:val="47691257"/>
    <w:rsid w:val="48F638C5"/>
    <w:rsid w:val="4A47633A"/>
    <w:rsid w:val="4ABF33BC"/>
    <w:rsid w:val="4FCF4CCB"/>
    <w:rsid w:val="516D7DEA"/>
    <w:rsid w:val="563B19F4"/>
    <w:rsid w:val="586E6514"/>
    <w:rsid w:val="5B8E75CD"/>
    <w:rsid w:val="5BB14ADE"/>
    <w:rsid w:val="5C1F231F"/>
    <w:rsid w:val="5CE75A26"/>
    <w:rsid w:val="5D846D85"/>
    <w:rsid w:val="5DC80261"/>
    <w:rsid w:val="5F3A3A2A"/>
    <w:rsid w:val="60187E60"/>
    <w:rsid w:val="619A32BD"/>
    <w:rsid w:val="62977579"/>
    <w:rsid w:val="66F64EF6"/>
    <w:rsid w:val="695C0A4B"/>
    <w:rsid w:val="6B011F75"/>
    <w:rsid w:val="6CA57385"/>
    <w:rsid w:val="6CF263A0"/>
    <w:rsid w:val="6E70650D"/>
    <w:rsid w:val="6EC2319D"/>
    <w:rsid w:val="70CD5701"/>
    <w:rsid w:val="70E27F4C"/>
    <w:rsid w:val="72EC3B6A"/>
    <w:rsid w:val="74F73CCA"/>
    <w:rsid w:val="78EF0107"/>
    <w:rsid w:val="7C514D52"/>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2021-09-07T06:41:05Z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