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_GB2312" w:hAnsi="仿宋_GB2312" w:eastAsia="仿宋_GB2312" w:cs="仿宋_GB2312"/>
          <w:w w:val="102"/>
          <w:sz w:val="32"/>
          <w:szCs w:val="32"/>
        </w:rPr>
      </w:pPr>
    </w:p>
    <w:p>
      <w:pPr>
        <w:rPr>
          <w:rFonts w:hint="eastAsia"/>
          <w:sz w:val="44"/>
          <w:szCs w:val="44"/>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Theme="majorEastAsia" w:hAnsiTheme="majorEastAsia" w:eastAsiaTheme="majorEastAsia" w:cstheme="majorEastAsia"/>
          <w:b w:val="0"/>
          <w:bCs w:val="0"/>
          <w:color w:val="000000" w:themeColor="text1"/>
          <w:spacing w:val="0"/>
          <w:sz w:val="44"/>
          <w:szCs w:val="44"/>
          <w:shd w:val="clear" w:color="auto" w:fill="auto"/>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0"/>
          <w:sz w:val="44"/>
          <w:szCs w:val="44"/>
          <w:shd w:val="clear" w:color="auto" w:fill="auto"/>
          <w14:textFill>
            <w14:solidFill>
              <w14:schemeClr w14:val="tx1"/>
            </w14:solidFill>
          </w14:textFill>
        </w:rPr>
        <w:t>宁夏回族自治区</w:t>
      </w:r>
      <w:r>
        <w:rPr>
          <w:rFonts w:hint="eastAsia" w:asciiTheme="majorEastAsia" w:hAnsiTheme="majorEastAsia" w:eastAsiaTheme="majorEastAsia" w:cstheme="majorEastAsia"/>
          <w:b w:val="0"/>
          <w:bCs w:val="0"/>
          <w:color w:val="000000" w:themeColor="text1"/>
          <w:spacing w:val="0"/>
          <w:sz w:val="44"/>
          <w:szCs w:val="44"/>
          <w:shd w:val="clear" w:color="auto" w:fill="auto"/>
          <w:lang w:val="en-US" w:eastAsia="zh-CN"/>
          <w14:textFill>
            <w14:solidFill>
              <w14:schemeClr w14:val="tx1"/>
            </w14:solidFill>
          </w14:textFill>
        </w:rPr>
        <w:t>人民代表大会常务委员会</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Theme="majorEastAsia" w:hAnsiTheme="majorEastAsia" w:eastAsiaTheme="majorEastAsia" w:cstheme="majorEastAsia"/>
          <w:b w:val="0"/>
          <w:bCs w:val="0"/>
          <w:color w:val="000000" w:themeColor="text1"/>
          <w:spacing w:val="0"/>
          <w:sz w:val="44"/>
          <w:szCs w:val="44"/>
          <w:shd w:val="clear" w:color="auto" w:fill="auto"/>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0"/>
          <w:sz w:val="44"/>
          <w:szCs w:val="44"/>
          <w:shd w:val="clear" w:color="auto" w:fill="auto"/>
          <w:lang w:val="en-US" w:eastAsia="zh-CN"/>
          <w14:textFill>
            <w14:solidFill>
              <w14:schemeClr w14:val="tx1"/>
            </w14:solidFill>
          </w14:textFill>
        </w:rPr>
        <w:t>关于实施《中华人民共和国行政处罚法》</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Theme="majorEastAsia" w:hAnsiTheme="majorEastAsia" w:eastAsiaTheme="majorEastAsia" w:cstheme="majorEastAsia"/>
          <w:b w:val="0"/>
          <w:bCs w:val="0"/>
          <w:color w:val="000000" w:themeColor="text1"/>
          <w:spacing w:val="0"/>
          <w:sz w:val="44"/>
          <w:szCs w:val="44"/>
          <w:shd w:val="clear" w:color="auto" w:fill="auto"/>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0"/>
          <w:sz w:val="44"/>
          <w:szCs w:val="44"/>
          <w:shd w:val="clear" w:color="auto" w:fill="auto"/>
          <w:lang w:val="en-US" w:eastAsia="zh-CN"/>
          <w14:textFill>
            <w14:solidFill>
              <w14:schemeClr w14:val="tx1"/>
            </w14:solidFill>
          </w14:textFill>
        </w:rPr>
        <w:t>行政罚款限额的规定</w:t>
      </w:r>
    </w:p>
    <w:p>
      <w:pPr>
        <w:pStyle w:val="2"/>
        <w:rPr>
          <w:rFonts w:hint="eastAsia"/>
          <w:lang w:val="en-US" w:eastAsia="zh-CN"/>
        </w:rPr>
      </w:pPr>
    </w:p>
    <w:p>
      <w:pPr>
        <w:pStyle w:val="2"/>
        <w:keepNext w:val="0"/>
        <w:keepLines w:val="0"/>
        <w:pageBreakBefore w:val="0"/>
        <w:widowControl w:val="0"/>
        <w:kinsoku/>
        <w:wordWrap/>
        <w:overflowPunct/>
        <w:topLinePunct w:val="0"/>
        <w:autoSpaceDE/>
        <w:autoSpaceDN/>
        <w:bidi w:val="0"/>
        <w:adjustRightInd w:val="0"/>
        <w:snapToGrid/>
        <w:spacing w:line="600" w:lineRule="exact"/>
        <w:ind w:left="420" w:leftChars="200" w:right="420" w:rightChars="200" w:firstLine="0" w:firstLineChars="0"/>
        <w:jc w:val="both"/>
        <w:textAlignment w:val="auto"/>
        <w:outlineLvl w:val="9"/>
        <w:rPr>
          <w:rFonts w:hint="eastAsia" w:ascii="楷体" w:hAnsi="楷体" w:eastAsia="楷体" w:cs="楷体"/>
          <w:b w:val="0"/>
          <w:bCs w:val="0"/>
          <w:color w:val="000000" w:themeColor="text1"/>
          <w:spacing w:val="-11"/>
          <w:sz w:val="32"/>
          <w:szCs w:val="32"/>
          <w:shd w:val="clear" w:color="auto" w:fill="auto"/>
          <w:lang w:val="en-US" w:eastAsia="zh-CN"/>
          <w14:textFill>
            <w14:solidFill>
              <w14:schemeClr w14:val="tx1"/>
            </w14:solidFill>
          </w14:textFill>
        </w:rPr>
      </w:pPr>
      <w:r>
        <w:rPr>
          <w:rFonts w:hint="eastAsia" w:ascii="楷体" w:hAnsi="楷体" w:eastAsia="楷体" w:cs="楷体"/>
          <w:b w:val="0"/>
          <w:bCs w:val="0"/>
          <w:color w:val="000000" w:themeColor="text1"/>
          <w:spacing w:val="-11"/>
          <w:sz w:val="32"/>
          <w:szCs w:val="32"/>
          <w:shd w:val="clear" w:color="auto" w:fill="auto"/>
          <w:lang w:val="en-US" w:eastAsia="zh-CN"/>
          <w14:textFill>
            <w14:solidFill>
              <w14:schemeClr w14:val="tx1"/>
            </w14:solidFill>
          </w14:textFill>
        </w:rPr>
        <w:t xml:space="preserve">(1996年8月15日宁夏回族自治区第七届人民代表大会常务委员会第二十次会议通过 </w:t>
      </w:r>
      <w:r>
        <w:rPr>
          <w:rFonts w:hint="eastAsia" w:ascii="楷体" w:hAnsi="楷体" w:eastAsia="楷体" w:cs="楷体"/>
          <w:b w:val="0"/>
          <w:bCs/>
          <w:w w:val="100"/>
          <w:sz w:val="32"/>
          <w:szCs w:val="32"/>
          <w:lang w:val="en-US" w:eastAsia="zh-CN"/>
        </w:rPr>
        <w:t xml:space="preserve"> </w:t>
      </w:r>
      <w:r>
        <w:rPr>
          <w:rFonts w:hint="eastAsia" w:ascii="楷体" w:hAnsi="楷体" w:eastAsia="楷体" w:cs="楷体"/>
          <w:b w:val="0"/>
          <w:bCs/>
          <w:w w:val="100"/>
          <w:sz w:val="32"/>
          <w:szCs w:val="32"/>
        </w:rPr>
        <w:t>根据20</w:t>
      </w:r>
      <w:r>
        <w:rPr>
          <w:rFonts w:hint="eastAsia" w:ascii="楷体" w:hAnsi="楷体" w:eastAsia="楷体" w:cs="楷体"/>
          <w:b w:val="0"/>
          <w:bCs/>
          <w:w w:val="100"/>
          <w:sz w:val="32"/>
          <w:szCs w:val="32"/>
          <w:lang w:val="en-US" w:eastAsia="zh-CN"/>
        </w:rPr>
        <w:t>2</w:t>
      </w:r>
      <w:r>
        <w:rPr>
          <w:rFonts w:hint="eastAsia" w:ascii="楷体" w:hAnsi="楷体" w:eastAsia="楷体" w:cs="楷体"/>
          <w:b w:val="0"/>
          <w:bCs/>
          <w:w w:val="100"/>
          <w:sz w:val="32"/>
          <w:szCs w:val="32"/>
        </w:rPr>
        <w:t>1年</w:t>
      </w:r>
      <w:r>
        <w:rPr>
          <w:rFonts w:hint="eastAsia" w:ascii="楷体" w:hAnsi="楷体" w:eastAsia="楷体" w:cs="楷体"/>
          <w:b w:val="0"/>
          <w:bCs/>
          <w:w w:val="100"/>
          <w:sz w:val="32"/>
          <w:szCs w:val="32"/>
          <w:lang w:val="en-US" w:eastAsia="zh-CN"/>
        </w:rPr>
        <w:t>3</w:t>
      </w:r>
      <w:r>
        <w:rPr>
          <w:rFonts w:hint="eastAsia" w:ascii="楷体" w:hAnsi="楷体" w:eastAsia="楷体" w:cs="楷体"/>
          <w:b w:val="0"/>
          <w:bCs/>
          <w:w w:val="100"/>
          <w:sz w:val="32"/>
          <w:szCs w:val="32"/>
        </w:rPr>
        <w:t>月</w:t>
      </w:r>
      <w:r>
        <w:rPr>
          <w:rFonts w:hint="eastAsia" w:ascii="楷体" w:hAnsi="楷体" w:eastAsia="楷体" w:cs="楷体"/>
          <w:b w:val="0"/>
          <w:bCs/>
          <w:w w:val="100"/>
          <w:sz w:val="32"/>
          <w:szCs w:val="32"/>
          <w:lang w:val="en-US" w:eastAsia="zh-CN"/>
        </w:rPr>
        <w:t>26</w:t>
      </w:r>
      <w:r>
        <w:rPr>
          <w:rFonts w:hint="eastAsia" w:ascii="楷体" w:hAnsi="楷体" w:eastAsia="楷体" w:cs="楷体"/>
          <w:b w:val="0"/>
          <w:bCs/>
          <w:w w:val="100"/>
          <w:sz w:val="32"/>
          <w:szCs w:val="32"/>
        </w:rPr>
        <w:t>日宁夏回族自治区第十</w:t>
      </w:r>
      <w:r>
        <w:rPr>
          <w:rFonts w:hint="eastAsia" w:ascii="楷体" w:hAnsi="楷体" w:eastAsia="楷体" w:cs="楷体"/>
          <w:b w:val="0"/>
          <w:bCs/>
          <w:w w:val="100"/>
          <w:sz w:val="32"/>
          <w:szCs w:val="32"/>
          <w:lang w:eastAsia="zh-CN"/>
        </w:rPr>
        <w:t>二</w:t>
      </w:r>
      <w:r>
        <w:rPr>
          <w:rFonts w:hint="eastAsia" w:ascii="楷体" w:hAnsi="楷体" w:eastAsia="楷体" w:cs="楷体"/>
          <w:b w:val="0"/>
          <w:bCs/>
          <w:w w:val="100"/>
          <w:sz w:val="32"/>
          <w:szCs w:val="32"/>
        </w:rPr>
        <w:t>届人民代表大会常务委员会第二十</w:t>
      </w:r>
      <w:r>
        <w:rPr>
          <w:rFonts w:hint="eastAsia" w:ascii="楷体" w:hAnsi="楷体" w:eastAsia="楷体" w:cs="楷体"/>
          <w:b w:val="0"/>
          <w:bCs/>
          <w:w w:val="100"/>
          <w:sz w:val="32"/>
          <w:szCs w:val="32"/>
          <w:lang w:eastAsia="zh-CN"/>
        </w:rPr>
        <w:t>五</w:t>
      </w:r>
      <w:r>
        <w:rPr>
          <w:rFonts w:hint="eastAsia" w:ascii="楷体" w:hAnsi="楷体" w:eastAsia="楷体" w:cs="楷体"/>
          <w:b w:val="0"/>
          <w:bCs/>
          <w:w w:val="100"/>
          <w:sz w:val="32"/>
          <w:szCs w:val="32"/>
        </w:rPr>
        <w:t>次会议《关于修改宁夏回族自治区实施&lt;中华人民共和国全国人民代表大会和地方各级人民代表大会选举法&gt;细则</w:t>
      </w:r>
      <w:r>
        <w:rPr>
          <w:rFonts w:hint="eastAsia" w:ascii="楷体" w:hAnsi="楷体" w:eastAsia="楷体" w:cs="楷体"/>
          <w:b w:val="0"/>
          <w:bCs/>
          <w:w w:val="100"/>
          <w:sz w:val="32"/>
          <w:szCs w:val="32"/>
          <w:lang w:eastAsia="zh-CN"/>
        </w:rPr>
        <w:t>等四件地方性法规</w:t>
      </w:r>
      <w:r>
        <w:rPr>
          <w:rFonts w:hint="eastAsia" w:ascii="楷体" w:hAnsi="楷体" w:eastAsia="楷体" w:cs="楷体"/>
          <w:b w:val="0"/>
          <w:bCs/>
          <w:w w:val="100"/>
          <w:sz w:val="32"/>
          <w:szCs w:val="32"/>
        </w:rPr>
        <w:t>的决定》</w:t>
      </w:r>
      <w:r>
        <w:rPr>
          <w:rFonts w:hint="eastAsia" w:ascii="楷体" w:hAnsi="楷体" w:eastAsia="楷体" w:cs="楷体"/>
          <w:b w:val="0"/>
          <w:bCs w:val="0"/>
          <w:color w:val="000000" w:themeColor="text1"/>
          <w:spacing w:val="-11"/>
          <w:sz w:val="32"/>
          <w:szCs w:val="32"/>
          <w:shd w:val="clear" w:color="auto" w:fill="auto"/>
          <w:lang w:val="en-US" w:eastAsia="zh-CN"/>
          <w14:textFill>
            <w14:solidFill>
              <w14:schemeClr w14:val="tx1"/>
            </w14:solidFill>
          </w14:textFill>
        </w:rPr>
        <w:t>修正)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0"/>
        <w:jc w:val="center"/>
        <w:textAlignment w:val="auto"/>
        <w:outlineLvl w:val="9"/>
        <w:rPr>
          <w:rFonts w:hint="eastAsia" w:ascii="仿宋" w:hAnsi="仿宋" w:eastAsia="仿宋" w:cs="仿宋"/>
          <w:color w:val="000000" w:themeColor="text1"/>
          <w:sz w:val="32"/>
          <w:szCs w:val="32"/>
          <w:shd w:val="clear" w:color="auto" w:fill="auto"/>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1" w:firstLineChars="0"/>
        <w:jc w:val="both"/>
        <w:textAlignment w:val="auto"/>
        <w:outlineLvl w:val="9"/>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《中华人民共和国行政处罚法》（以下简称行政处罚法）</w:t>
      </w: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于</w:t>
      </w: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1996年10月1日起施行。这对促进行政机关依法行政，加强廉政建设、维护社会秩序和公共利益，保护公民、法人和其他组织的合法权益，都有重要意义。</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为保证</w:t>
      </w: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行政处罚法</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在我区的正确实施，根据</w:t>
      </w: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行政处罚法</w:t>
      </w: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第十</w:t>
      </w: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四</w:t>
      </w: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条</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规定，结合我区实际，特将</w:t>
      </w: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行政罚款限额规定如下：</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641" w:firstLineChars="0"/>
        <w:jc w:val="both"/>
        <w:textAlignment w:val="auto"/>
        <w:outlineLvl w:val="9"/>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自治区人民政府和</w:t>
      </w:r>
      <w:r>
        <w:rPr>
          <w:rFonts w:hint="eastAsia" w:ascii="仿宋_GB2312" w:hAnsi="仿宋_GB2312" w:eastAsia="仿宋_GB2312" w:cs="仿宋_GB2312"/>
          <w:b w:val="0"/>
          <w:bCs w:val="0"/>
          <w:color w:val="000000" w:themeColor="text1"/>
          <w:sz w:val="32"/>
          <w:szCs w:val="32"/>
          <w:shd w:val="clear" w:color="auto" w:fill="auto"/>
          <w:lang w:eastAsia="zh-CN"/>
          <w14:textFill>
            <w14:solidFill>
              <w14:schemeClr w14:val="tx1"/>
            </w14:solidFill>
          </w14:textFill>
        </w:rPr>
        <w:t>设区的市人民政府制定</w:t>
      </w: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的规章</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对非经营活动中的违法行为设定罚款不得超过1000元；对经营活动中的违法行为，有违法所得的，设定罚款不得超过违法所得的3倍，但最高不得超过30000元，没有违法所得的，设定罚款不得超过10000元；超过上述限额的，报自治区人大常委会批准</w:t>
      </w: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w:t>
      </w:r>
    </w:p>
    <w:p>
      <w:pPr>
        <w:pStyle w:val="2"/>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p>
    <w:p>
      <w:pP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p>
    <w:p>
      <w:pPr>
        <w:pStyle w:val="2"/>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p>
    <w:p>
      <w:pP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p>
    <w:p>
      <w:pPr>
        <w:pStyle w:val="2"/>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p>
    <w:p>
      <w:pP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p>
    <w:p>
      <w:pPr>
        <w:pStyle w:val="2"/>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p>
    <w:p>
      <w:pP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p>
    <w:p>
      <w:pPr>
        <w:pStyle w:val="2"/>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p>
    <w:p>
      <w:pP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p>
    <w:p>
      <w:pPr>
        <w:pStyle w:val="2"/>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p>
    <w:p>
      <w:pP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p>
    <w:p>
      <w:pPr>
        <w:pStyle w:val="2"/>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p>
    <w:p>
      <w:pP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p>
    <w:p>
      <w:pPr>
        <w:pStyle w:val="2"/>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p>
    <w:p>
      <w:pP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p>
    <w:p>
      <w:pPr>
        <w:pStyle w:val="2"/>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p>
    <w:p>
      <w:pP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p>
    <w:p>
      <w:pPr>
        <w:pStyle w:val="2"/>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pPr>
      <w:bookmarkStart w:id="0" w:name="_GoBack"/>
      <w:bookmarkEnd w:id="0"/>
    </w:p>
    <w:sectPr>
      <w:footerReference r:id="rId3" w:type="default"/>
      <w:pgSz w:w="11906" w:h="16838"/>
      <w:pgMar w:top="1984" w:right="1587" w:bottom="1474" w:left="1587" w:header="851" w:footer="113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C45D7E"/>
    <w:rsid w:val="03DA426C"/>
    <w:rsid w:val="089D0C2D"/>
    <w:rsid w:val="097D5557"/>
    <w:rsid w:val="0CDA280B"/>
    <w:rsid w:val="15CA23A4"/>
    <w:rsid w:val="23CE0E85"/>
    <w:rsid w:val="2DD803A0"/>
    <w:rsid w:val="34AD4DC8"/>
    <w:rsid w:val="3C9B7D79"/>
    <w:rsid w:val="461A0116"/>
    <w:rsid w:val="4AA01F00"/>
    <w:rsid w:val="4B1A6476"/>
    <w:rsid w:val="4C2668BC"/>
    <w:rsid w:val="4E3C5523"/>
    <w:rsid w:val="70DF22E7"/>
    <w:rsid w:val="72C45D7E"/>
    <w:rsid w:val="743B13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2"/>
      <w:lang w:val="en-US" w:eastAsia="zh-CN"/>
    </w:rPr>
  </w:style>
  <w:style w:type="paragraph" w:styleId="3">
    <w:name w:val="heading 2"/>
    <w:basedOn w:val="1"/>
    <w:next w:val="1"/>
    <w:unhideWhenUsed/>
    <w:qFormat/>
    <w:uiPriority w:val="0"/>
    <w:pPr>
      <w:keepNext/>
      <w:keepLines/>
      <w:spacing w:line="560" w:lineRule="exact"/>
      <w:ind w:firstLine="640"/>
      <w:outlineLvl w:val="1"/>
    </w:pPr>
    <w:rPr>
      <w:rFonts w:eastAsia="黑体"/>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rPr>
      <w:rFonts w:ascii="Times New Roman" w:hAnsi="Times New Roma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Strong"/>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2021-03-31T07:01:00Z</dcterms:created>
  <dc:creator>Win</dc:creator>
  <cp:lastModifiedBy>婷婷</cp:lastModifiedBy>
  <cp:lastPrinted>2021-04-06T08:04:00Z</cp:lastPrinted>
  <dcterms:modified xsi:type="dcterms:W3CDTF">2021-04-12T07:29:57Z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