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200"/>
        <w:jc w:val="center"/>
        <w:rPr>
          <w:rFonts w:ascii="方正小标宋_GBK" w:hAnsi="方正小标宋_GBK" w:eastAsia="方正小标宋_GBK" w:cs="方正小标宋_GBK"/>
          <w:sz w:val="44"/>
          <w:szCs w:val="44"/>
        </w:rPr>
      </w:pPr>
    </w:p>
    <w:p>
      <w:pPr>
        <w:spacing w:line="520" w:lineRule="exact"/>
        <w:ind w:firstLine="200"/>
        <w:jc w:val="center"/>
        <w:rPr>
          <w:rFonts w:ascii="方正小标宋_GBK" w:hAnsi="方正小标宋_GBK" w:eastAsia="方正小标宋_GBK" w:cs="方正小标宋_GBK"/>
          <w:sz w:val="44"/>
          <w:szCs w:val="44"/>
        </w:rPr>
      </w:pPr>
    </w:p>
    <w:p>
      <w:pPr>
        <w:spacing w:line="520" w:lineRule="exact"/>
        <w:ind w:firstLine="200"/>
        <w:jc w:val="center"/>
        <w:rPr>
          <w:rFonts w:ascii="宋体" w:hAnsi="宋体" w:eastAsia="宋体" w:cs="方正小标宋_GBK"/>
          <w:sz w:val="44"/>
          <w:szCs w:val="44"/>
        </w:rPr>
      </w:pPr>
      <w:r>
        <w:rPr>
          <w:rFonts w:hint="eastAsia" w:ascii="宋体" w:hAnsi="宋体" w:eastAsia="宋体" w:cs="方正小标宋_GBK"/>
          <w:sz w:val="44"/>
          <w:szCs w:val="44"/>
        </w:rPr>
        <w:t>山东省规范海洋渔业船舶捕捞规定</w:t>
      </w:r>
    </w:p>
    <w:p>
      <w:pPr>
        <w:pStyle w:val="2"/>
        <w:spacing w:after="0" w:line="260" w:lineRule="exact"/>
      </w:pPr>
    </w:p>
    <w:p>
      <w:pPr>
        <w:spacing w:line="520" w:lineRule="exact"/>
        <w:ind w:firstLine="640" w:firstLineChars="200"/>
        <w:outlineLvl w:val="0"/>
        <w:rPr>
          <w:rFonts w:ascii="楷体_GB2312" w:hAnsi="宋体" w:eastAsia="楷体_GB2312"/>
          <w:color w:val="000000"/>
        </w:rPr>
      </w:pPr>
      <w:r>
        <w:rPr>
          <w:rFonts w:hint="eastAsia" w:ascii="楷体_GB2312" w:hAnsi="宋体" w:eastAsia="楷体_GB2312"/>
          <w:color w:val="000000"/>
        </w:rPr>
        <w:t>（</w:t>
      </w:r>
      <w:r>
        <w:rPr>
          <w:rFonts w:ascii="楷体_GB2312" w:hAnsi="宋体" w:eastAsia="楷体_GB2312"/>
          <w:color w:val="000000"/>
        </w:rPr>
        <w:t>202</w:t>
      </w:r>
      <w:r>
        <w:rPr>
          <w:rFonts w:hint="eastAsia" w:ascii="楷体_GB2312" w:hAnsi="宋体" w:eastAsia="楷体_GB2312"/>
          <w:color w:val="000000"/>
        </w:rPr>
        <w:t>1</w:t>
      </w:r>
      <w:r>
        <w:rPr>
          <w:rFonts w:ascii="楷体_GB2312" w:hAnsi="宋体" w:eastAsia="楷体_GB2312"/>
          <w:color w:val="000000"/>
        </w:rPr>
        <w:t>年</w:t>
      </w:r>
      <w:r>
        <w:rPr>
          <w:rFonts w:hint="eastAsia" w:ascii="楷体_GB2312" w:hAnsi="宋体" w:eastAsia="楷体_GB2312"/>
          <w:color w:val="000000"/>
        </w:rPr>
        <w:t>1</w:t>
      </w:r>
      <w:r>
        <w:rPr>
          <w:rFonts w:ascii="楷体_GB2312" w:hAnsi="宋体" w:eastAsia="楷体_GB2312"/>
          <w:color w:val="000000"/>
        </w:rPr>
        <w:t>月2</w:t>
      </w:r>
      <w:r>
        <w:rPr>
          <w:rFonts w:hint="eastAsia" w:ascii="楷体_GB2312" w:hAnsi="宋体" w:eastAsia="楷体_GB2312"/>
          <w:color w:val="000000"/>
        </w:rPr>
        <w:t>8</w:t>
      </w:r>
      <w:r>
        <w:rPr>
          <w:rFonts w:ascii="楷体_GB2312" w:hAnsi="宋体" w:eastAsia="楷体_GB2312"/>
          <w:color w:val="000000"/>
        </w:rPr>
        <w:t>日山东省第十三届人民代表大会常务</w:t>
      </w:r>
    </w:p>
    <w:p>
      <w:pPr>
        <w:spacing w:line="520" w:lineRule="exact"/>
        <w:ind w:firstLine="640" w:firstLineChars="200"/>
        <w:outlineLvl w:val="0"/>
        <w:rPr>
          <w:rFonts w:ascii="楷体_GB2312" w:hAnsi="宋体" w:eastAsia="楷体_GB2312"/>
          <w:color w:val="000000"/>
        </w:rPr>
      </w:pPr>
      <w:r>
        <w:rPr>
          <w:rFonts w:ascii="楷体_GB2312" w:hAnsi="宋体" w:eastAsia="楷体_GB2312"/>
          <w:color w:val="000000"/>
        </w:rPr>
        <w:t>委员会第二十</w:t>
      </w:r>
      <w:r>
        <w:rPr>
          <w:rFonts w:hint="eastAsia" w:ascii="楷体_GB2312" w:hAnsi="宋体" w:eastAsia="楷体_GB2312"/>
          <w:color w:val="000000"/>
        </w:rPr>
        <w:t>五</w:t>
      </w:r>
      <w:r>
        <w:rPr>
          <w:rFonts w:ascii="楷体_GB2312" w:hAnsi="宋体" w:eastAsia="楷体_GB2312"/>
          <w:color w:val="000000"/>
        </w:rPr>
        <w:t>次会议通过</w:t>
      </w:r>
      <w:r>
        <w:rPr>
          <w:rFonts w:hint="eastAsia" w:ascii="楷体_GB2312" w:hAnsi="宋体" w:eastAsia="楷体_GB2312"/>
          <w:color w:val="000000"/>
        </w:rPr>
        <w:t>）</w:t>
      </w:r>
    </w:p>
    <w:p>
      <w:pPr>
        <w:pStyle w:val="2"/>
        <w:spacing w:after="0" w:line="520" w:lineRule="exact"/>
      </w:pPr>
    </w:p>
    <w:p>
      <w:pPr>
        <w:spacing w:line="520" w:lineRule="exact"/>
        <w:ind w:firstLine="640" w:firstLineChars="200"/>
        <w:rPr>
          <w:rFonts w:hint="eastAsia" w:ascii="仿宋_GB2312" w:hAnsi="΢���ź�"/>
          <w:bCs/>
          <w:color w:val="000000" w:themeColor="text1"/>
          <w14:textFill>
            <w14:solidFill>
              <w14:schemeClr w14:val="tx1"/>
            </w14:solidFill>
          </w14:textFill>
        </w:rPr>
      </w:pPr>
      <w:r>
        <w:rPr>
          <w:rFonts w:hint="eastAsia" w:ascii="黑体" w:hAnsi="黑体" w:eastAsia="黑体" w:cs="黑体"/>
        </w:rPr>
        <w:t xml:space="preserve">第一条  </w:t>
      </w:r>
      <w:r>
        <w:rPr>
          <w:rFonts w:hint="eastAsia" w:ascii="仿宋_GB2312" w:hAnsi="΢���ź�"/>
          <w:color w:val="000000" w:themeColor="text1"/>
          <w14:textFill>
            <w14:solidFill>
              <w14:schemeClr w14:val="tx1"/>
            </w14:solidFill>
          </w14:textFill>
        </w:rPr>
        <w:t>为了进一步规范海洋渔业船舶捕捞活动，维护渔业生产秩序，根据有关法律、行政法规，结合本省实际，制定本规定。</w:t>
      </w:r>
    </w:p>
    <w:p>
      <w:pPr>
        <w:spacing w:line="520" w:lineRule="exact"/>
        <w:ind w:firstLine="640" w:firstLineChars="200"/>
        <w:rPr>
          <w:rFonts w:hint="eastAsia" w:ascii="仿宋_GB2312" w:hAnsi="΢���ź�"/>
          <w:color w:val="000000" w:themeColor="text1"/>
          <w14:textFill>
            <w14:solidFill>
              <w14:schemeClr w14:val="tx1"/>
            </w14:solidFill>
          </w14:textFill>
        </w:rPr>
      </w:pPr>
      <w:r>
        <w:rPr>
          <w:rFonts w:hint="eastAsia" w:ascii="黑体" w:hAnsi="黑体" w:eastAsia="黑体" w:cs="黑体"/>
        </w:rPr>
        <w:t>第二条</w:t>
      </w:r>
      <w:r>
        <w:rPr>
          <w:rFonts w:hint="eastAsia" w:ascii="仿宋_GB2312" w:hAnsi="΢���ź�"/>
          <w:bCs/>
          <w:color w:val="000000" w:themeColor="text1"/>
          <w14:textFill>
            <w14:solidFill>
              <w14:schemeClr w14:val="tx1"/>
            </w14:solidFill>
          </w14:textFill>
        </w:rPr>
        <w:t>　</w:t>
      </w:r>
      <w:r>
        <w:rPr>
          <w:rFonts w:hint="eastAsia" w:ascii="仿宋_GB2312" w:hAnsi="΢���ź�"/>
          <w:color w:val="000000" w:themeColor="text1"/>
          <w14:textFill>
            <w14:solidFill>
              <w14:schemeClr w14:val="tx1"/>
            </w14:solidFill>
          </w14:textFill>
        </w:rPr>
        <w:t>县级以上人民政府应当加强对海洋渔业船舶捕捞管理工作的领导，建立属地管理和监督体系，健全联合执法机制，加大海洋渔业船舶减船转产政策支持，加强法治宣传教育，落实责任追究制度。</w:t>
      </w:r>
    </w:p>
    <w:p>
      <w:pPr>
        <w:spacing w:line="520" w:lineRule="exact"/>
        <w:ind w:firstLine="640" w:firstLineChars="200"/>
        <w:rPr>
          <w:rFonts w:hint="eastAsia" w:ascii="仿宋_GB2312" w:hAnsi="΢���ź�"/>
          <w:color w:val="000000" w:themeColor="text1"/>
          <w14:textFill>
            <w14:solidFill>
              <w14:schemeClr w14:val="tx1"/>
            </w14:solidFill>
          </w14:textFill>
        </w:rPr>
      </w:pPr>
      <w:r>
        <w:rPr>
          <w:rFonts w:hint="eastAsia" w:ascii="仿宋_GB2312" w:hAnsi="΢���ź�"/>
          <w:color w:val="000000" w:themeColor="text1"/>
          <w14:textFill>
            <w14:solidFill>
              <w14:schemeClr w14:val="tx1"/>
            </w14:solidFill>
          </w14:textFill>
        </w:rPr>
        <w:t>渔业、公安、工业和信息化、人力资源社会保障、外事、市场监督管理等部门和相关涉海执法机构，应当按照法定职责，加强协调配合，强化联防联控，运用现代信息技术手段加强智慧监管，建立健全信息沟通和重大事件报告、通报制度，实现对海洋渔业船舶捕捞活动的全程有效管理</w:t>
      </w:r>
      <w:r>
        <w:rPr>
          <w:rFonts w:hint="eastAsia" w:ascii="仿宋_GB2312" w:hAnsi="΢���ź�"/>
          <w:bCs/>
          <w:color w:val="000000" w:themeColor="text1"/>
          <w14:textFill>
            <w14:solidFill>
              <w14:schemeClr w14:val="tx1"/>
            </w14:solidFill>
          </w14:textFill>
        </w:rPr>
        <w:t>。</w:t>
      </w:r>
    </w:p>
    <w:p>
      <w:pPr>
        <w:spacing w:line="520" w:lineRule="exact"/>
        <w:ind w:firstLine="640" w:firstLineChars="200"/>
        <w:rPr>
          <w:rFonts w:hint="eastAsia" w:ascii="仿宋_GB2312" w:hAnsi="΢���ź�"/>
          <w:color w:val="000000" w:themeColor="text1"/>
          <w14:textFill>
            <w14:solidFill>
              <w14:schemeClr w14:val="tx1"/>
            </w14:solidFill>
          </w14:textFill>
        </w:rPr>
      </w:pPr>
      <w:r>
        <w:rPr>
          <w:rFonts w:hint="eastAsia" w:ascii="仿宋_GB2312" w:hAnsi="΢���ź�"/>
          <w:color w:val="000000" w:themeColor="text1"/>
          <w14:textFill>
            <w14:solidFill>
              <w14:schemeClr w14:val="tx1"/>
            </w14:solidFill>
          </w14:textFill>
        </w:rPr>
        <w:t>乡镇人民政府、街道办事处应当依照法律、法规规定的职责，做好海洋渔业船舶捕捞监督管理工作；村民委员会、居民委员会等基层群众性自治组织应当协助做好海洋渔业船舶捕捞监督管理相关工作。</w:t>
      </w:r>
    </w:p>
    <w:p>
      <w:pPr>
        <w:spacing w:line="520" w:lineRule="exact"/>
        <w:ind w:firstLine="640" w:firstLineChars="200"/>
        <w:rPr>
          <w:rFonts w:hint="eastAsia" w:ascii="仿宋_GB2312" w:hAnsi="΢���ź�"/>
          <w:color w:val="000000" w:themeColor="text1"/>
          <w14:textFill>
            <w14:solidFill>
              <w14:schemeClr w14:val="tx1"/>
            </w14:solidFill>
          </w14:textFill>
        </w:rPr>
      </w:pPr>
      <w:r>
        <w:rPr>
          <w:rFonts w:hint="eastAsia" w:ascii="仿宋_GB2312" w:hAnsi="΢���ź�"/>
          <w:color w:val="000000" w:themeColor="text1"/>
          <w14:textFill>
            <w14:solidFill>
              <w14:schemeClr w14:val="tx1"/>
            </w14:solidFill>
          </w14:textFill>
        </w:rPr>
        <w:t>各级人民政府和负有海洋渔业船舶捕捞监督管理职责的单位、个人不履行或者不正确履行职责的，对负有责任的主管人员和其他直接责任人员依法给予处分，并按照省有关规定进行责任追究。</w:t>
      </w:r>
    </w:p>
    <w:p>
      <w:pPr>
        <w:spacing w:line="520" w:lineRule="exact"/>
        <w:ind w:firstLine="640" w:firstLineChars="200"/>
        <w:rPr>
          <w:rFonts w:hint="eastAsia" w:ascii="仿宋_GB2312" w:hAnsi="΢���ź�"/>
          <w:color w:val="000000" w:themeColor="text1"/>
          <w14:textFill>
            <w14:solidFill>
              <w14:schemeClr w14:val="tx1"/>
            </w14:solidFill>
          </w14:textFill>
        </w:rPr>
      </w:pPr>
      <w:r>
        <w:rPr>
          <w:rFonts w:hint="eastAsia" w:ascii="黑体" w:hAnsi="黑体" w:eastAsia="黑体" w:cs="黑体"/>
        </w:rPr>
        <w:t>第三条</w:t>
      </w:r>
      <w:r>
        <w:rPr>
          <w:rFonts w:hint="eastAsia" w:ascii="仿宋_GB2312" w:hAnsi="΢���ź�"/>
          <w:bCs/>
          <w:color w:val="000000" w:themeColor="text1"/>
          <w14:textFill>
            <w14:solidFill>
              <w14:schemeClr w14:val="tx1"/>
            </w14:solidFill>
          </w14:textFill>
        </w:rPr>
        <w:t xml:space="preserve">  </w:t>
      </w:r>
      <w:r>
        <w:rPr>
          <w:rFonts w:hint="eastAsia" w:ascii="仿宋_GB2312" w:hAnsi="΢���ź�"/>
          <w:color w:val="000000" w:themeColor="text1"/>
          <w14:textFill>
            <w14:solidFill>
              <w14:schemeClr w14:val="tx1"/>
            </w14:solidFill>
          </w14:textFill>
        </w:rPr>
        <w:t>渔业港口应当建立海洋渔业船舶进出港登记制度，核验进港渔业船舶身份，检查出港渔业船舶安全设备以及船员配备等情况，不得为违法渔业船舶提供港口服务。法律、行政法规另有规定的，从其规定。</w:t>
      </w:r>
    </w:p>
    <w:p>
      <w:pPr>
        <w:spacing w:line="520" w:lineRule="exact"/>
        <w:ind w:firstLine="640" w:firstLineChars="200"/>
        <w:rPr>
          <w:rFonts w:hint="eastAsia" w:ascii="仿宋_GB2312" w:hAnsi="΢���ź�"/>
          <w:color w:val="000000" w:themeColor="text1"/>
          <w14:textFill>
            <w14:solidFill>
              <w14:schemeClr w14:val="tx1"/>
            </w14:solidFill>
          </w14:textFill>
        </w:rPr>
      </w:pPr>
      <w:r>
        <w:rPr>
          <w:rFonts w:hint="eastAsia" w:ascii="仿宋_GB2312" w:hAnsi="΢���ź�"/>
          <w:color w:val="000000" w:themeColor="text1"/>
          <w14:textFill>
            <w14:solidFill>
              <w14:schemeClr w14:val="tx1"/>
            </w14:solidFill>
          </w14:textFill>
        </w:rPr>
        <w:t>海洋渔业船舶进出渔业港口应当向县级以上人民政府渔业行政主管部门报告进出港时间、作业场所、航次计划、适航状态、船员配备、渔具以及渔获物等情况，并服从调度和监督管理；渔业行政主管部门应当将有关情况即时通报同级公安机关。</w:t>
      </w:r>
    </w:p>
    <w:p>
      <w:pPr>
        <w:spacing w:line="520" w:lineRule="exact"/>
        <w:ind w:firstLine="640" w:firstLineChars="200"/>
        <w:rPr>
          <w:rFonts w:hint="eastAsia" w:ascii="仿宋_GB2312" w:hAnsi="΢���ź�"/>
          <w:color w:val="000000" w:themeColor="text1"/>
          <w14:textFill>
            <w14:solidFill>
              <w14:schemeClr w14:val="tx1"/>
            </w14:solidFill>
          </w14:textFill>
        </w:rPr>
      </w:pPr>
      <w:r>
        <w:rPr>
          <w:rFonts w:hint="eastAsia" w:ascii="仿宋_GB2312" w:hAnsi="΢���ź�"/>
          <w:color w:val="000000" w:themeColor="text1"/>
          <w14:textFill>
            <w14:solidFill>
              <w14:schemeClr w14:val="tx1"/>
            </w14:solidFill>
          </w14:textFill>
        </w:rPr>
        <w:t>海洋渔业船舶应当选择经常作业地的一个渔业港口作为固定停靠港口，接受固定停靠港口所在地县级以上人民政府渔业行政主管部门的监督管理；除紧急避险情形外，应当在固定停靠港口停泊、装卸渔获物和补充渔需物资。渔业港口应当将固定停靠本港的海洋渔业船舶信息报当地县级以上人民政府渔业行政主管部门备案。</w:t>
      </w:r>
    </w:p>
    <w:p>
      <w:pPr>
        <w:spacing w:line="520" w:lineRule="exact"/>
        <w:ind w:firstLine="640" w:firstLineChars="200"/>
        <w:rPr>
          <w:rFonts w:hint="eastAsia" w:ascii="仿宋_GB2312" w:hAnsi="΢���ź�"/>
          <w:color w:val="000000" w:themeColor="text1"/>
          <w14:textFill>
            <w14:solidFill>
              <w14:schemeClr w14:val="tx1"/>
            </w14:solidFill>
          </w14:textFill>
        </w:rPr>
      </w:pPr>
      <w:r>
        <w:rPr>
          <w:rFonts w:hint="eastAsia" w:ascii="仿宋_GB2312" w:hAnsi="΢���ź�"/>
          <w:color w:val="000000" w:themeColor="text1"/>
          <w14:textFill>
            <w14:solidFill>
              <w14:schemeClr w14:val="tx1"/>
            </w14:solidFill>
          </w14:textFill>
        </w:rPr>
        <w:t>渔业港口违反本条第一款规定的，由县级以上人民政府渔业行政主管部门责令改正，处十万元以上五十万元以下的罚款。海洋渔业船舶违反本条第二款和第三款规定的，由县级以上人民政府渔业行政主管部门责令改正，处二万元以上十万元以下的罚款；情节严重的，并处暂扣或者吊销船长职务船员证书。</w:t>
      </w:r>
    </w:p>
    <w:p>
      <w:pPr>
        <w:spacing w:line="520" w:lineRule="exact"/>
        <w:ind w:firstLine="640" w:firstLineChars="200"/>
        <w:rPr>
          <w:rFonts w:hint="eastAsia" w:ascii="仿宋_GB2312" w:hAnsi="΢���ź�"/>
          <w:color w:val="000000" w:themeColor="text1"/>
          <w14:textFill>
            <w14:solidFill>
              <w14:schemeClr w14:val="tx1"/>
            </w14:solidFill>
          </w14:textFill>
        </w:rPr>
      </w:pPr>
      <w:r>
        <w:rPr>
          <w:rFonts w:hint="eastAsia" w:ascii="黑体" w:hAnsi="黑体" w:eastAsia="黑体" w:cs="黑体"/>
        </w:rPr>
        <w:t>第四条</w:t>
      </w:r>
      <w:r>
        <w:rPr>
          <w:rFonts w:hint="eastAsia" w:ascii="仿宋_GB2312" w:hAnsi="΢���ź�"/>
          <w:bCs/>
          <w:color w:val="000000" w:themeColor="text1"/>
          <w14:textFill>
            <w14:solidFill>
              <w14:schemeClr w14:val="tx1"/>
            </w14:solidFill>
          </w14:textFill>
        </w:rPr>
        <w:t xml:space="preserve"> </w:t>
      </w:r>
      <w:r>
        <w:rPr>
          <w:rFonts w:hint="eastAsia" w:ascii="仿宋_GB2312" w:hAnsi="΢���ź�"/>
          <w:color w:val="000000" w:themeColor="text1"/>
          <w14:textFill>
            <w14:solidFill>
              <w14:schemeClr w14:val="tx1"/>
            </w14:solidFill>
          </w14:textFill>
        </w:rPr>
        <w:t xml:space="preserve"> 制造、更新改造海洋捕捞渔业船舶，应当取得渔业船网工具指标批准书。未取得渔业船网工具指标批准书，或者未按照渔业船网工具指标批准书核定的内容，委托制造海洋捕捞渔业船舶的，由县级以上人民政府渔业行政主管部门对委托人处十万元以上五十万元以下的罚款，并处没收相关设备和部件；违法更新改造海洋捕捞渔业船舶的，责令改正，对船舶所有人处五万元以上三十万元以下的罚款，情节严重的，并处没收船舶；对提供场地、设施或者实施制造、更新改造行为的单位或者个人，责令停止违法行为，没收违法所得，并处二十万元以上一百万元以下的罚款。</w:t>
      </w:r>
    </w:p>
    <w:p>
      <w:pPr>
        <w:spacing w:line="520" w:lineRule="exact"/>
        <w:ind w:firstLine="640" w:firstLineChars="200"/>
        <w:rPr>
          <w:rFonts w:hint="eastAsia" w:ascii="仿宋_GB2312" w:hAnsi="΢���ź�"/>
          <w:color w:val="000000" w:themeColor="text1"/>
          <w14:textFill>
            <w14:solidFill>
              <w14:schemeClr w14:val="tx1"/>
            </w14:solidFill>
          </w14:textFill>
        </w:rPr>
      </w:pPr>
      <w:r>
        <w:rPr>
          <w:rFonts w:hint="eastAsia" w:ascii="仿宋_GB2312" w:hAnsi="΢���ź�"/>
          <w:color w:val="000000" w:themeColor="text1"/>
          <w14:textFill>
            <w14:solidFill>
              <w14:schemeClr w14:val="tx1"/>
            </w14:solidFill>
          </w14:textFill>
        </w:rPr>
        <w:t>单位和个人维修无船名船号、无船舶证书、无船籍港的船舶或者为海洋捕捞渔业船舶加装铁丝网、栅栏、钢钎等设施的，由县级以上人民政府渔业行政主管部门责令停止违法行为，处五万元以上二十万元以下的罚款。</w:t>
      </w:r>
    </w:p>
    <w:p>
      <w:pPr>
        <w:spacing w:line="520" w:lineRule="exact"/>
        <w:ind w:firstLine="640" w:firstLineChars="200"/>
        <w:rPr>
          <w:rFonts w:hint="eastAsia" w:ascii="仿宋_GB2312" w:hAnsi="΢���ź�"/>
          <w:color w:val="000000" w:themeColor="text1"/>
          <w14:textFill>
            <w14:solidFill>
              <w14:schemeClr w14:val="tx1"/>
            </w14:solidFill>
          </w14:textFill>
        </w:rPr>
      </w:pPr>
      <w:r>
        <w:rPr>
          <w:rFonts w:hint="eastAsia" w:ascii="仿宋_GB2312" w:hAnsi="΢���ź�"/>
          <w:color w:val="000000" w:themeColor="text1"/>
          <w14:textFill>
            <w14:solidFill>
              <w14:schemeClr w14:val="tx1"/>
            </w14:solidFill>
          </w14:textFill>
        </w:rPr>
        <w:t>无船名船号、无船舶证书、无船籍港的船舶，由县级以上人民政府渔业、公安等部门予以没收。</w:t>
      </w:r>
    </w:p>
    <w:p>
      <w:pPr>
        <w:spacing w:line="520" w:lineRule="exact"/>
        <w:ind w:firstLine="640" w:firstLineChars="200"/>
        <w:rPr>
          <w:rFonts w:hint="eastAsia" w:ascii="仿宋_GB2312" w:hAnsi="΢���ź�"/>
          <w:color w:val="000000" w:themeColor="text1"/>
          <w14:textFill>
            <w14:solidFill>
              <w14:schemeClr w14:val="tx1"/>
            </w14:solidFill>
          </w14:textFill>
        </w:rPr>
      </w:pPr>
      <w:r>
        <w:rPr>
          <w:rFonts w:hint="eastAsia" w:ascii="黑体" w:hAnsi="黑体" w:eastAsia="黑体" w:cs="黑体"/>
        </w:rPr>
        <w:t>第五条</w:t>
      </w:r>
      <w:r>
        <w:rPr>
          <w:rFonts w:hint="eastAsia" w:ascii="仿宋_GB2312" w:hAnsi="΢���ź�"/>
          <w:bCs/>
          <w:color w:val="000000" w:themeColor="text1"/>
          <w14:textFill>
            <w14:solidFill>
              <w14:schemeClr w14:val="tx1"/>
            </w14:solidFill>
          </w14:textFill>
        </w:rPr>
        <w:t xml:space="preserve">  </w:t>
      </w:r>
      <w:r>
        <w:rPr>
          <w:rFonts w:hint="eastAsia" w:ascii="仿宋_GB2312" w:hAnsi="΢���ź�"/>
          <w:color w:val="000000" w:themeColor="text1"/>
          <w14:textFill>
            <w14:solidFill>
              <w14:schemeClr w14:val="tx1"/>
            </w14:solidFill>
          </w14:textFill>
        </w:rPr>
        <w:t>海洋渔业船舶应当按照规定制作安装船名、船籍港、船名牌和电子身份标签等标识，配备安全通信导航和船位监测终端设备，并保持设备性能完好、正常运行；远洋渔业船舶还应当按照规定及时准确报告船位信息。</w:t>
      </w:r>
    </w:p>
    <w:p>
      <w:pPr>
        <w:spacing w:line="520" w:lineRule="exact"/>
        <w:ind w:firstLine="640" w:firstLineChars="200"/>
        <w:rPr>
          <w:rFonts w:hint="eastAsia" w:ascii="仿宋_GB2312" w:hAnsi="΢���ź�"/>
          <w:color w:val="000000" w:themeColor="text1"/>
          <w14:textFill>
            <w14:solidFill>
              <w14:schemeClr w14:val="tx1"/>
            </w14:solidFill>
          </w14:textFill>
        </w:rPr>
      </w:pPr>
      <w:r>
        <w:rPr>
          <w:rFonts w:hint="eastAsia" w:ascii="仿宋_GB2312" w:hAnsi="΢���ź�"/>
          <w:color w:val="000000" w:themeColor="text1"/>
          <w14:textFill>
            <w14:solidFill>
              <w14:schemeClr w14:val="tx1"/>
            </w14:solidFill>
          </w14:textFill>
        </w:rPr>
        <w:t>海洋渔业船舶不得遮盖、涂改、伪造、拆卸、损毁、出借渔业船舶标识，不得擅自关闭、屏蔽、拆卸、出借、转让安全通信导航和船位监测终端设备，不得擅自更改船舶注册信息和航行作业信息。</w:t>
      </w:r>
    </w:p>
    <w:p>
      <w:pPr>
        <w:spacing w:line="520" w:lineRule="exact"/>
        <w:ind w:firstLine="640" w:firstLineChars="200"/>
        <w:rPr>
          <w:rFonts w:hint="eastAsia" w:ascii="仿宋_GB2312" w:hAnsi="΢���ź�"/>
          <w:color w:val="000000" w:themeColor="text1"/>
          <w14:textFill>
            <w14:solidFill>
              <w14:schemeClr w14:val="tx1"/>
            </w14:solidFill>
          </w14:textFill>
        </w:rPr>
      </w:pPr>
      <w:r>
        <w:rPr>
          <w:rFonts w:hint="eastAsia" w:ascii="仿宋_GB2312" w:hAnsi="΢���ź�"/>
          <w:color w:val="000000" w:themeColor="text1"/>
          <w14:textFill>
            <w14:solidFill>
              <w14:schemeClr w14:val="tx1"/>
            </w14:solidFill>
          </w14:textFill>
        </w:rPr>
        <w:t>禁止套用海洋渔业船舶船名船号、船舶证书从事渔业捕捞活动。</w:t>
      </w:r>
    </w:p>
    <w:p>
      <w:pPr>
        <w:spacing w:line="520" w:lineRule="exact"/>
        <w:ind w:firstLine="640" w:firstLineChars="200"/>
        <w:rPr>
          <w:rFonts w:hint="eastAsia" w:ascii="仿宋_GB2312" w:hAnsi="΢���ź�"/>
          <w:color w:val="000000" w:themeColor="text1"/>
          <w14:textFill>
            <w14:solidFill>
              <w14:schemeClr w14:val="tx1"/>
            </w14:solidFill>
          </w14:textFill>
        </w:rPr>
      </w:pPr>
      <w:r>
        <w:rPr>
          <w:rFonts w:hint="eastAsia" w:ascii="仿宋_GB2312" w:hAnsi="΢���ź�"/>
          <w:color w:val="000000" w:themeColor="text1"/>
          <w14:textFill>
            <w14:solidFill>
              <w14:schemeClr w14:val="tx1"/>
            </w14:solidFill>
          </w14:textFill>
        </w:rPr>
        <w:t>远洋渔业船舶违反本条规定的，由县级以上人民政府渔业行政主管部门责令改正，处二十万元以上一百万元以下的罚款，并处暂扣或者吊销船长职务船员证书。其他海洋渔业船舶违反本条规定的，由县级以上人民政府渔业行政主管部门责令限期改正，处五万元以上二十万元以下的罚款；情节严重的，并处责令停航整顿、暂扣或者吊销船长职务船员证书。</w:t>
      </w:r>
    </w:p>
    <w:p>
      <w:pPr>
        <w:spacing w:line="520" w:lineRule="exact"/>
        <w:ind w:firstLine="640" w:firstLineChars="200"/>
        <w:rPr>
          <w:rFonts w:hint="eastAsia" w:ascii="仿宋_GB2312" w:hAnsi="΢���ź�"/>
          <w:color w:val="000000" w:themeColor="text1"/>
          <w14:textFill>
            <w14:solidFill>
              <w14:schemeClr w14:val="tx1"/>
            </w14:solidFill>
          </w14:textFill>
        </w:rPr>
      </w:pPr>
      <w:r>
        <w:rPr>
          <w:rFonts w:hint="eastAsia" w:ascii="黑体" w:hAnsi="黑体" w:eastAsia="黑体" w:cs="黑体"/>
        </w:rPr>
        <w:t>第六条</w:t>
      </w:r>
      <w:r>
        <w:rPr>
          <w:rFonts w:hint="eastAsia" w:ascii="仿宋_GB2312" w:hAnsi="΢���ź�"/>
          <w:bCs/>
          <w:color w:val="000000" w:themeColor="text1"/>
          <w14:textFill>
            <w14:solidFill>
              <w14:schemeClr w14:val="tx1"/>
            </w14:solidFill>
          </w14:textFill>
        </w:rPr>
        <w:t xml:space="preserve">  </w:t>
      </w:r>
      <w:r>
        <w:rPr>
          <w:rFonts w:hint="eastAsia" w:ascii="仿宋_GB2312" w:hAnsi="΢���ź�"/>
          <w:color w:val="000000" w:themeColor="text1"/>
          <w14:textFill>
            <w14:solidFill>
              <w14:schemeClr w14:val="tx1"/>
            </w14:solidFill>
          </w14:textFill>
        </w:rPr>
        <w:t>在禁渔期内，任何单位和个人不得随船携带禁渔期禁止作业的网具；应禁渔的海洋渔业船舶应当在船籍港停泊，不得擅自转移停泊地点。</w:t>
      </w:r>
    </w:p>
    <w:p>
      <w:pPr>
        <w:spacing w:line="520" w:lineRule="exact"/>
        <w:ind w:firstLine="640" w:firstLineChars="200"/>
        <w:rPr>
          <w:rFonts w:hint="eastAsia" w:ascii="仿宋_GB2312" w:hAnsi="΢���ź�"/>
          <w:color w:val="000000" w:themeColor="text1"/>
          <w14:textFill>
            <w14:solidFill>
              <w14:schemeClr w14:val="tx1"/>
            </w14:solidFill>
          </w14:textFill>
        </w:rPr>
      </w:pPr>
      <w:r>
        <w:rPr>
          <w:rFonts w:hint="eastAsia" w:ascii="仿宋_GB2312" w:hAnsi="΢���ź�"/>
          <w:color w:val="000000" w:themeColor="text1"/>
          <w14:textFill>
            <w14:solidFill>
              <w14:schemeClr w14:val="tx1"/>
            </w14:solidFill>
          </w14:textFill>
        </w:rPr>
        <w:t>违反本条规定的，由县级以上人民政府渔业行政主管部门责令改正，处一万元以上五万元以下的罚款。</w:t>
      </w:r>
    </w:p>
    <w:p>
      <w:pPr>
        <w:spacing w:line="520" w:lineRule="exact"/>
        <w:ind w:firstLine="640" w:firstLineChars="200"/>
        <w:rPr>
          <w:rFonts w:hint="eastAsia" w:ascii="仿宋_GB2312" w:hAnsi="΢���ź�"/>
          <w:color w:val="000000" w:themeColor="text1"/>
          <w14:textFill>
            <w14:solidFill>
              <w14:schemeClr w14:val="tx1"/>
            </w14:solidFill>
          </w14:textFill>
        </w:rPr>
      </w:pPr>
      <w:r>
        <w:rPr>
          <w:rFonts w:hint="eastAsia" w:ascii="黑体" w:hAnsi="黑体" w:eastAsia="黑体" w:cs="黑体"/>
        </w:rPr>
        <w:t>第七条</w:t>
      </w:r>
      <w:r>
        <w:rPr>
          <w:rFonts w:hint="eastAsia" w:ascii="仿宋_GB2312" w:hAnsi="΢���ź�"/>
          <w:bCs/>
          <w:color w:val="000000" w:themeColor="text1"/>
          <w14:textFill>
            <w14:solidFill>
              <w14:schemeClr w14:val="tx1"/>
            </w14:solidFill>
          </w14:textFill>
        </w:rPr>
        <w:t xml:space="preserve">  </w:t>
      </w:r>
      <w:r>
        <w:rPr>
          <w:rFonts w:hint="eastAsia" w:ascii="仿宋_GB2312" w:hAnsi="΢���ź�"/>
          <w:color w:val="000000" w:themeColor="text1"/>
          <w14:textFill>
            <w14:solidFill>
              <w14:schemeClr w14:val="tx1"/>
            </w14:solidFill>
          </w14:textFill>
        </w:rPr>
        <w:t>知道或者应当知道是无合法来源的渔获物，仍然收购、转载、代冻、销售、加工的，由县级以上人民政府渔业、市场监督管理等部门按照职责，没收</w:t>
      </w:r>
      <w:r>
        <w:rPr>
          <w:rFonts w:hint="eastAsia" w:ascii="仿宋_GB2312" w:hAnsi="΢���ź�"/>
          <w:bCs/>
          <w:color w:val="000000" w:themeColor="text1"/>
          <w14:textFill>
            <w14:solidFill>
              <w14:schemeClr w14:val="tx1"/>
            </w14:solidFill>
          </w14:textFill>
        </w:rPr>
        <w:t>渔获物和</w:t>
      </w:r>
      <w:r>
        <w:rPr>
          <w:rFonts w:hint="eastAsia" w:ascii="仿宋_GB2312" w:hAnsi="΢���ź�"/>
          <w:color w:val="000000" w:themeColor="text1"/>
          <w14:textFill>
            <w14:solidFill>
              <w14:schemeClr w14:val="tx1"/>
            </w14:solidFill>
          </w14:textFill>
        </w:rPr>
        <w:t>违法所得，并处二万元以上十万元以下的罚款。</w:t>
      </w:r>
    </w:p>
    <w:p>
      <w:pPr>
        <w:spacing w:line="520" w:lineRule="exact"/>
        <w:ind w:firstLine="640" w:firstLineChars="200"/>
        <w:rPr>
          <w:rFonts w:hint="eastAsia" w:ascii="仿宋_GB2312" w:hAnsi="΢���ź�"/>
          <w:color w:val="000000" w:themeColor="text1"/>
          <w14:textFill>
            <w14:solidFill>
              <w14:schemeClr w14:val="tx1"/>
            </w14:solidFill>
          </w14:textFill>
        </w:rPr>
      </w:pPr>
      <w:r>
        <w:rPr>
          <w:rFonts w:hint="eastAsia" w:ascii="黑体" w:hAnsi="黑体" w:eastAsia="黑体" w:cs="黑体"/>
        </w:rPr>
        <w:t>第八条</w:t>
      </w:r>
      <w:r>
        <w:rPr>
          <w:rFonts w:hint="eastAsia" w:ascii="仿宋_GB2312" w:hAnsi="΢���ź�"/>
          <w:bCs/>
          <w:color w:val="000000" w:themeColor="text1"/>
          <w14:textFill>
            <w14:solidFill>
              <w14:schemeClr w14:val="tx1"/>
            </w14:solidFill>
          </w14:textFill>
        </w:rPr>
        <w:t xml:space="preserve">  </w:t>
      </w:r>
      <w:r>
        <w:rPr>
          <w:rFonts w:hint="eastAsia" w:ascii="仿宋_GB2312" w:hAnsi="΢���ź�"/>
          <w:color w:val="000000" w:themeColor="text1"/>
          <w14:textFill>
            <w14:solidFill>
              <w14:schemeClr w14:val="tx1"/>
            </w14:solidFill>
          </w14:textFill>
        </w:rPr>
        <w:t>海洋渔业船舶未经批准进入他国管辖海域进行捕捞的，由县级以上人民政府渔业行政主管部门和有关机构按照法定职责，暂扣或者吊销船长职务船员证书、吊销捕捞许可证，没收渔获物和渔具，并处二十万元以上一百万元以下的罚款；有违法所得的，没收违法所得，并处违法所得一倍以上三倍以下的罚款；情节严重的，并处没收渔业船舶；构成犯罪的，依法追究刑事责任。</w:t>
      </w:r>
    </w:p>
    <w:p>
      <w:pPr>
        <w:spacing w:line="520" w:lineRule="exact"/>
        <w:ind w:firstLine="640" w:firstLineChars="200"/>
        <w:rPr>
          <w:rFonts w:hint="eastAsia" w:ascii="仿宋_GB2312" w:hAnsi="΢���ź�"/>
          <w:color w:val="000000" w:themeColor="text1"/>
          <w14:textFill>
            <w14:solidFill>
              <w14:schemeClr w14:val="tx1"/>
            </w14:solidFill>
          </w14:textFill>
        </w:rPr>
      </w:pPr>
      <w:r>
        <w:rPr>
          <w:rFonts w:hint="eastAsia" w:ascii="仿宋_GB2312" w:hAnsi="΢���ź�"/>
          <w:color w:val="000000" w:themeColor="text1"/>
          <w14:textFill>
            <w14:solidFill>
              <w14:schemeClr w14:val="tx1"/>
            </w14:solidFill>
          </w14:textFill>
        </w:rPr>
        <w:t>有关部门和机构应当及时将违法渔业船舶处理情况通报外事部门。</w:t>
      </w:r>
    </w:p>
    <w:p>
      <w:pPr>
        <w:spacing w:line="520" w:lineRule="exact"/>
        <w:ind w:firstLine="640" w:firstLineChars="200"/>
        <w:rPr>
          <w:rFonts w:hint="eastAsia" w:ascii="仿宋_GB2312" w:hAnsi="΢���ź�"/>
          <w:color w:val="000000" w:themeColor="text1"/>
          <w14:textFill>
            <w14:solidFill>
              <w14:schemeClr w14:val="tx1"/>
            </w14:solidFill>
          </w14:textFill>
        </w:rPr>
      </w:pPr>
      <w:r>
        <w:rPr>
          <w:rFonts w:hint="eastAsia" w:ascii="黑体" w:hAnsi="黑体" w:eastAsia="黑体" w:cs="黑体"/>
        </w:rPr>
        <w:t>第九条</w:t>
      </w:r>
      <w:r>
        <w:rPr>
          <w:rFonts w:hint="eastAsia" w:ascii="仿宋_GB2312" w:hAnsi="΢���ź�"/>
          <w:bCs/>
          <w:color w:val="000000" w:themeColor="text1"/>
          <w14:textFill>
            <w14:solidFill>
              <w14:schemeClr w14:val="tx1"/>
            </w14:solidFill>
          </w14:textFill>
        </w:rPr>
        <w:t xml:space="preserve">  </w:t>
      </w:r>
      <w:r>
        <w:rPr>
          <w:rFonts w:hint="eastAsia" w:ascii="仿宋_GB2312" w:hAnsi="΢���ź�"/>
          <w:color w:val="000000" w:themeColor="text1"/>
          <w14:textFill>
            <w14:solidFill>
              <w14:schemeClr w14:val="tx1"/>
            </w14:solidFill>
          </w14:textFill>
        </w:rPr>
        <w:t>中介机构为无船名船号、无船舶证书、无船籍港的船舶提供中介服务或者介绍未取得船员证书的人员上船工作的，由县级以上人民政府人力资源社会保障部门责令改正；有违法所得的，没收违法所得，并处一万元以上五万元以下的罚款；情节严重的，吊销相关许可证件。</w:t>
      </w:r>
    </w:p>
    <w:p>
      <w:pPr>
        <w:spacing w:line="520" w:lineRule="exact"/>
        <w:ind w:firstLine="640" w:firstLineChars="200"/>
        <w:rPr>
          <w:rFonts w:hint="eastAsia" w:ascii="仿宋_GB2312" w:hAnsi="΢���ź�"/>
          <w:color w:val="000000" w:themeColor="text1"/>
          <w14:textFill>
            <w14:solidFill>
              <w14:schemeClr w14:val="tx1"/>
            </w14:solidFill>
          </w14:textFill>
        </w:rPr>
      </w:pPr>
      <w:r>
        <w:rPr>
          <w:rFonts w:hint="eastAsia" w:ascii="仿宋_GB2312" w:hAnsi="΢���ź�"/>
          <w:color w:val="000000" w:themeColor="text1"/>
          <w14:textFill>
            <w14:solidFill>
              <w14:schemeClr w14:val="tx1"/>
            </w14:solidFill>
          </w14:textFill>
        </w:rPr>
        <w:t>对未取得船员证书上船工作的人员，由县级以上人民政府渔业行政主管部门责令改正，处二千元以上一万元以下的罚款；对招用未取得船员证书人员上船工作的船舶所有人，由县级以上人民政府渔业行政主管部门责令改正，处二万元以上十万元以下的罚款。</w:t>
      </w:r>
    </w:p>
    <w:p>
      <w:pPr>
        <w:spacing w:line="520" w:lineRule="exact"/>
        <w:ind w:firstLine="640" w:firstLineChars="200"/>
        <w:rPr>
          <w:rFonts w:hint="eastAsia" w:ascii="仿宋_GB2312" w:hAnsi="΢���ź�"/>
          <w:bCs/>
          <w:color w:val="000000" w:themeColor="text1"/>
          <w14:textFill>
            <w14:solidFill>
              <w14:schemeClr w14:val="tx1"/>
            </w14:solidFill>
          </w14:textFill>
        </w:rPr>
      </w:pPr>
      <w:r>
        <w:rPr>
          <w:rFonts w:hint="eastAsia" w:ascii="黑体" w:hAnsi="黑体" w:eastAsia="黑体" w:cs="黑体"/>
        </w:rPr>
        <w:t>第十条</w:t>
      </w:r>
      <w:r>
        <w:rPr>
          <w:rFonts w:hint="eastAsia" w:ascii="仿宋_GB2312" w:hAnsi="΢���ź�"/>
          <w:bCs/>
          <w:color w:val="000000" w:themeColor="text1"/>
          <w14:textFill>
            <w14:solidFill>
              <w14:schemeClr w14:val="tx1"/>
            </w14:solidFill>
          </w14:textFill>
        </w:rPr>
        <w:t>　相关设区的市可以根据本规定，</w:t>
      </w:r>
      <w:r>
        <w:rPr>
          <w:rFonts w:hint="eastAsia" w:ascii="仿宋_GB2312" w:hAnsi="΢���ź�"/>
          <w:color w:val="000000" w:themeColor="text1"/>
          <w14:textFill>
            <w14:solidFill>
              <w14:schemeClr w14:val="tx1"/>
            </w14:solidFill>
          </w14:textFill>
        </w:rPr>
        <w:t>制定具体管理办法</w:t>
      </w:r>
      <w:r>
        <w:rPr>
          <w:rFonts w:hint="eastAsia" w:ascii="仿宋_GB2312" w:hAnsi="΢���ź�"/>
          <w:bCs/>
          <w:color w:val="000000" w:themeColor="text1"/>
          <w14:textFill>
            <w14:solidFill>
              <w14:schemeClr w14:val="tx1"/>
            </w14:solidFill>
          </w14:textFill>
        </w:rPr>
        <w:t>。</w:t>
      </w:r>
    </w:p>
    <w:p>
      <w:pPr>
        <w:spacing w:line="520" w:lineRule="exact"/>
        <w:ind w:firstLine="640" w:firstLineChars="200"/>
        <w:rPr>
          <w:rFonts w:ascii="仿宋_GB2312"/>
          <w:sz w:val="28"/>
          <w:szCs w:val="28"/>
        </w:rPr>
      </w:pPr>
      <w:r>
        <w:rPr>
          <w:rFonts w:hint="eastAsia" w:ascii="仿宋_GB2312" w:hAnsi="΢���ź�"/>
          <w:color w:val="000000" w:themeColor="text1"/>
          <w14:textFill>
            <w14:solidFill>
              <w14:schemeClr w14:val="tx1"/>
            </w14:solidFill>
          </w14:textFill>
        </w:rPr>
        <w:t>本规定自公布之日起施行。</w:t>
      </w:r>
      <w:r>
        <w:rPr>
          <w:rFonts w:hint="eastAsia" w:ascii="仿宋_GB2312"/>
          <w:sz w:val="28"/>
          <w:szCs w:val="28"/>
        </w:rPr>
        <w:tab/>
      </w:r>
    </w:p>
    <w:p>
      <w:pPr>
        <w:pStyle w:val="5"/>
        <w:ind w:left="640" w:firstLine="640"/>
      </w:pPr>
    </w:p>
    <w:p>
      <w:pPr>
        <w:pStyle w:val="5"/>
        <w:ind w:left="640" w:firstLine="640"/>
      </w:pPr>
    </w:p>
    <w:p>
      <w:pPr>
        <w:pStyle w:val="5"/>
        <w:ind w:left="640" w:firstLine="640"/>
      </w:pPr>
    </w:p>
    <w:p>
      <w:pPr>
        <w:pStyle w:val="5"/>
        <w:ind w:left="640" w:firstLine="640"/>
      </w:pPr>
    </w:p>
    <w:p>
      <w:pPr>
        <w:pStyle w:val="5"/>
        <w:ind w:left="640" w:firstLine="640"/>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ź�">
    <w:altName w:val="Times New Roman"/>
    <w:panose1 w:val="00000000000000000000"/>
    <w:charset w:val="00"/>
    <w:family w:val="roman"/>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77BB1"/>
    <w:rsid w:val="0BE77BB1"/>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Body Text First Indent 2"/>
    <w:basedOn w:val="3"/>
    <w:qFormat/>
    <w:uiPriority w:val="0"/>
    <w:pPr>
      <w:ind w:firstLine="420" w:firstLineChars="200"/>
    </w:p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2021-02-25T08:04:00Z</dcterms:created>
  <dc:creator>苏健 }</dc:creator>
  <cp:lastModifiedBy>苏健 }</cp:lastModifiedBy>
  <dcterms:modified xsi:type="dcterms:W3CDTF">2021-02-25T08:05:05Z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