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39C55CA">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城市公共交通条例</w:t>
      </w:r>
    </w:p>
    <w:p w14:paraId="54BB1AD2">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6E12E2F4">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为了推动城市公共交通高质量发展，提升城市公共交通服务水平，保障城市公共交通安全，更好满足公众基本出行需求，促进城市现代化建设，制定本条例。</w:t>
      </w:r>
    </w:p>
    <w:p w14:paraId="5B69D9A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本条例所称城市公共交通，是指在城市人民政府确定的区域内，利用公共汽电车、城市轨道交通车辆等公共交通工具和有关系统、设施，按照核定的线路、站点、时间、票价等运营，为公众提供基本出行服务。</w:t>
      </w:r>
    </w:p>
    <w:p w14:paraId="1EC126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国家实施城市公共交通优先发展战略，综合采取规划、土地、财政、金融等方面措施，保障城市公共交通发展，增强城市公共交通竞争力和吸引力。</w:t>
      </w:r>
    </w:p>
    <w:p w14:paraId="2A01E56E">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国家鼓励、引导公众优先选择公共交通作为机动化出行方式。</w:t>
      </w:r>
    </w:p>
    <w:p w14:paraId="25B4337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城市公共交通工作应当坚持中国共产党的领导，坚持以人民为中心，坚持城市公共交通公益属性，落实城市公共交通优先发展战略，构建安全、便捷、高效、绿色、经济的城市公共交通体系。</w:t>
      </w:r>
    </w:p>
    <w:p w14:paraId="708BAF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城市人民政府是发展城市公共交通的责任主体。</w:t>
      </w:r>
    </w:p>
    <w:p w14:paraId="043D548C">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城市人民政府应当加强对城市公共交通工作的组织领导，落实城市公共交通发展保障措施，强化对城市公共交通安全的监督管理，统筹研究和协调解决城市公共交通工作中的重大问题。</w:t>
      </w:r>
    </w:p>
    <w:p w14:paraId="4D94B4ED">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国务院城市公共交通主管部门及其他有关部门和省、自治区人民政府应当加强对城市公共交通工作的指导。</w:t>
      </w:r>
    </w:p>
    <w:p w14:paraId="1FBF0D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城市人民政府应当根据城市功能定位、规模、空间布局、发展目标、公众出行需求等实际情况和特点，与城市土地和空间使用相协调，统筹各种交通方式，科学确定城市公共交通发展目标和发展模式，推动提升城市公共交通在机动化出行中的分担比例。</w:t>
      </w:r>
    </w:p>
    <w:p w14:paraId="6CFF8E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承担城市公共交通运营服务的企业（以下简称城市公共交通企业）由城市人民政府或者其城市公共交通主管部门依法确定。</w:t>
      </w:r>
    </w:p>
    <w:p w14:paraId="440967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国家鼓励和支持新技术、新能源、新装备在城市公共交通系统中的推广应用，提高城市公共交通信息化、智能化水平，推动城市公共交通绿色低碳转型，提升运营效率和管理水平。</w:t>
      </w:r>
    </w:p>
    <w:p w14:paraId="627DCCC6">
      <w:pPr>
        <w:rPr>
          <w:rFonts w:ascii="Times New Roman" w:hAnsi="Times New Roman" w:eastAsia="宋体" w:cs="宋体"/>
          <w:szCs w:val="32"/>
        </w:rPr>
      </w:pPr>
    </w:p>
    <w:p w14:paraId="136A0E80">
      <w:pPr>
        <w:jc w:val="center"/>
        <w:rPr>
          <w:rFonts w:ascii="Times New Roman" w:hAnsi="Times New Roman" w:eastAsia="黑体" w:cs="黑体"/>
          <w:szCs w:val="32"/>
        </w:rPr>
      </w:pPr>
      <w:r>
        <w:rPr>
          <w:rFonts w:hint="eastAsia" w:ascii="Times New Roman" w:hAnsi="Times New Roman" w:eastAsia="黑体" w:cs="黑体"/>
          <w:szCs w:val="32"/>
        </w:rPr>
        <w:t>第二章　发展保障</w:t>
      </w:r>
    </w:p>
    <w:p w14:paraId="098D7E0C">
      <w:pPr>
        <w:rPr>
          <w:rFonts w:ascii="Times New Roman" w:hAnsi="Times New Roman" w:eastAsia="宋体" w:cs="宋体"/>
          <w:szCs w:val="32"/>
        </w:rPr>
      </w:pPr>
    </w:p>
    <w:p w14:paraId="1EDC74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城市综合交通体系规划应当明确公共交通优先发展原则，统筹城市交通基础设施建设，合理配置和利用各种交通资源，强化各种交通方式的衔接协调。城市人民政府根据实际情况和需要组织编制城市公共交通规划。</w:t>
      </w:r>
    </w:p>
    <w:p w14:paraId="7471A1C0">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建设城市轨道交通系统的城市应当按照国家有关规定编制城市轨道交通线网规划和建设规划。</w:t>
      </w:r>
    </w:p>
    <w:p w14:paraId="444BDB1E">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城市综合交通体系规划、城市公共交通规划、城市轨道交通线网规划和建设规划应当与国土空间规划相衔接，将涉及土地和空间使用的合理需求纳入国土空间规划实施监督系统统筹保障。</w:t>
      </w:r>
    </w:p>
    <w:p w14:paraId="60EBCC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城市人民政府有关部门应当根据相关规划以及城市发展和公众出行需求情况，合理确定城市公共交通线路，布局公共交通场站等设施，提高公共交通覆盖率。</w:t>
      </w:r>
    </w:p>
    <w:p w14:paraId="41D029B6">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城市人民政府应当组织有关部门开展公众出行调查，作为优化城市公共交通线路和场站布局的依据。</w:t>
      </w:r>
    </w:p>
    <w:p w14:paraId="6508E5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新建、改建、扩建居住区、交通枢纽、学校、医院、体育场馆、商业中心等大型建设项目，应当统筹考虑公共交通出行需求；建设项目批准、核准文件要求配套建设城市公共交通基础设施的，建设单位应当按照要求建设相关设施并同步投入使用。</w:t>
      </w:r>
    </w:p>
    <w:p w14:paraId="4D653DBB">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城市公共交通基础设施建设应当符合无障碍环境建设要求，并与适老化改造相结合。</w:t>
      </w:r>
    </w:p>
    <w:p w14:paraId="077FB3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城市人民政府应当依法保障城市公共交通基础设施用地。城市公共交通基础设施用地符合规定条件的，可以以划拨、协议出让等方式供给。</w:t>
      </w:r>
    </w:p>
    <w:p w14:paraId="7580BA54">
      <w:pPr>
        <w:ind w:firstLine="632" w:firstLineChars="200"/>
        <w:rPr>
          <w:rFonts w:ascii="Times New Roman" w:hAnsi="Times New Roman" w:cs="仿宋_GB2312"/>
          <w:sz w:val="32"/>
          <w:szCs w:val="32"/>
        </w:rPr>
      </w:pPr>
      <w:r>
        <w:rPr>
          <w:rFonts w:hint="eastAsia" w:ascii="Times New Roman" w:hAnsi="Times New Roman" w:cs="仿宋_GB2312"/>
          <w:sz w:val="32"/>
          <w:szCs w:val="32"/>
        </w:rPr>
        <w:t>在符合国土空间规划和用途管制要求且不影响城市公共交通功能和规模的前提下，对城市公共交通基础设施用地可以按照国家有关规定实施综合开发，支持城市公共交通发展。</w:t>
      </w:r>
    </w:p>
    <w:p w14:paraId="00B0F3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城市人民政府应当根据城市公共交通实际和财政承受能力安排城市公共交通发展所需经费，并纳入本级预算。</w:t>
      </w:r>
    </w:p>
    <w:p w14:paraId="28D343C7">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国家鼓励、引导金融机构提供与城市公共交通发展相适应的金融服务，加大对城市公共交通发展的融资支持力度。</w:t>
      </w:r>
    </w:p>
    <w:p w14:paraId="16767D29">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国家鼓励和支持社会资本依法参与城市公共交通基础设施建设运营，保障其合法权益。</w:t>
      </w:r>
    </w:p>
    <w:p w14:paraId="7150CA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城市公共交通票价依法实行政府定价或者政府指导价，并建立动态调整机制。鼓励根据城市公共交通服务质量、运输距离以及换乘方式等因素，建立多层次、差别化的城市公共交通票价体系。</w:t>
      </w:r>
    </w:p>
    <w:p w14:paraId="6E180074">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制定、调整城市公共交通票价，应当统筹考虑企业运营成本、社会承受能力、交通供求状况等因素，并依法履行定价成本监审等程序。</w:t>
      </w:r>
    </w:p>
    <w:p w14:paraId="7B039DC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城市公共交通企业在保障公众基本出行的前提下，可以开展定制化出行服务业务。定制化出行服务业务可以实行市场调节价。</w:t>
      </w:r>
    </w:p>
    <w:p w14:paraId="6DF009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城市人民政府应当组织有关部门，在对城市公共交通企业开展运营服务质量评价和成本费用年度核算报告审核的基础上，综合考虑财政承受能力、企业增收节支空间等因素，按照规定及时给予补贴补偿。</w:t>
      </w:r>
    </w:p>
    <w:p w14:paraId="0671DE2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城市人民政府可以根据实际情况和需要，按照统筹公共交通效率和整体交通效率、集约利用城市道路资源的原则，设置公共交通专用车道，并实行科学管理和动态调整。</w:t>
      </w:r>
    </w:p>
    <w:p w14:paraId="46AFF72F">
      <w:pPr>
        <w:rPr>
          <w:rFonts w:ascii="Times New Roman" w:hAnsi="Times New Roman" w:eastAsia="宋体" w:cs="宋体"/>
          <w:szCs w:val="32"/>
        </w:rPr>
      </w:pPr>
    </w:p>
    <w:p w14:paraId="2882F474">
      <w:pPr>
        <w:jc w:val="center"/>
        <w:rPr>
          <w:rFonts w:ascii="Times New Roman" w:hAnsi="Times New Roman" w:eastAsia="黑体" w:cs="黑体"/>
          <w:szCs w:val="32"/>
        </w:rPr>
      </w:pPr>
      <w:r>
        <w:rPr>
          <w:rFonts w:hint="eastAsia" w:ascii="Times New Roman" w:hAnsi="Times New Roman" w:eastAsia="黑体" w:cs="黑体"/>
          <w:szCs w:val="32"/>
        </w:rPr>
        <w:t>第三章　运营服务</w:t>
      </w:r>
    </w:p>
    <w:p w14:paraId="3005B0E4">
      <w:pPr>
        <w:rPr>
          <w:rFonts w:ascii="Times New Roman" w:hAnsi="Times New Roman" w:eastAsia="宋体" w:cs="宋体"/>
          <w:szCs w:val="32"/>
        </w:rPr>
      </w:pPr>
    </w:p>
    <w:p w14:paraId="6F2826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城市人民政府城市公共交通主管部门应当通过与城市公共交通企业签订运营服务协议等方式，明确城市公共交通运营有关服务标准、规范、要求以及运营服务质量评价等事项。</w:t>
      </w:r>
    </w:p>
    <w:p w14:paraId="2060A290">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城市公共交通企业应当遵守城市公共交通运营有关服务标准、规范、要求等，加强企业内部管理，不断提高运营服务质量和效率。</w:t>
      </w:r>
    </w:p>
    <w:p w14:paraId="5D2A8D0A">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城市公共交通企业不得将其运营的城市公共交通线路转让、出租或者变相转让、出租给他人运营。</w:t>
      </w:r>
    </w:p>
    <w:p w14:paraId="4C2C65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城市公共交通企业应当按照运营服务协议或者城市人民政府城市公共交通主管部门的要求配备城市公共交通车辆，并按照规定设置车辆运营服务标识。</w:t>
      </w:r>
    </w:p>
    <w:p w14:paraId="13FC07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城市公共交通企业应当通过便于公众知晓的方式，及时公开运营线路、停靠站点、运营时间、发车间隔、票价等信息。鼓励城市公共交通企业通过电子站牌、出行信息服务系统等信息化手段为公众提供信息查询服务。</w:t>
      </w:r>
    </w:p>
    <w:p w14:paraId="5EC1C33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城市公共交通企业应当加强运营调度管理，在保障安全的前提下提高运行准点率和运行效率。</w:t>
      </w:r>
    </w:p>
    <w:p w14:paraId="53BB3C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城市公共交通企业不得擅自变更运营线路、停靠站点、运营时间或者中断运营服务；因特殊原因需要临时变更运营线路、停靠站点、运营时间或者暂时中断运营服务的，除发生突发事件或者为保障运营安全等采取紧急措施外，应当提前向社会公告，并向城市人民政府城市公共交通主管部门报告。</w:t>
      </w:r>
    </w:p>
    <w:p w14:paraId="7C5CC78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因大型群众性活动等情形出现公共交通客流集中、正常运营服务安排难以满足需求的，城市公共交通企业应当按照城市人民政府城市公共交通主管部门的要求，及时采取增开临时班次、缩短发车间隔、延长运营时间等措施，保障运营服务。</w:t>
      </w:r>
    </w:p>
    <w:p w14:paraId="24B889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乘客应当按照票价支付票款；对拒不支付票款的，城市公共交通企业可以拒绝其进站乘车。</w:t>
      </w:r>
    </w:p>
    <w:p w14:paraId="7A5CD75B">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城市公共交通企业应当依照法律、法规和国家有关规定，对相关群体乘坐公共交通工具提供便利和优待。</w:t>
      </w:r>
    </w:p>
    <w:p w14:paraId="59A3BB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城市公共交通企业应当建立运营服务质量投诉处理机制并向社会公布，及时妥善处理乘客提出的投诉，并向乘客反馈处理结果；乘客对处理结果不满意的，可以向城市人民政府城市公共交通主管部门申诉，城市人民政府城市公共交通主管部门应当及时作出答复。乘客也可以直接就运营服务质量问题向城市人民政府城市公共交通主管部门投诉。</w:t>
      </w:r>
    </w:p>
    <w:p w14:paraId="79B574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城市人民政府城市公共交通主管部门应当定期组织开展城市公共交通企业运营服务质量评价，并将评价结果向社会公布。</w:t>
      </w:r>
    </w:p>
    <w:p w14:paraId="1FE47B9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未经城市人民政府同意，城市公共交通企业不得终止运营服务；因破产、解散终止运营服务的，应当提前30日向城市人民政府城市公共交通主管部门报告，城市人民政府城市公共交通主管部门应当及时采取指定临时运营服务企业、调配运营车辆等措施，确保运营服务不中断；需要重新确定承担城市公共交通运营服务企业的，城市人民政府或者其城市公共交通主管部门应当按照规定及时确定。</w:t>
      </w:r>
    </w:p>
    <w:p w14:paraId="7E49829D">
      <w:pPr>
        <w:rPr>
          <w:rFonts w:ascii="Times New Roman" w:hAnsi="Times New Roman" w:eastAsia="宋体" w:cs="宋体"/>
          <w:szCs w:val="32"/>
        </w:rPr>
      </w:pPr>
    </w:p>
    <w:p w14:paraId="4DD1A9DB">
      <w:pPr>
        <w:jc w:val="center"/>
        <w:rPr>
          <w:rFonts w:ascii="Times New Roman" w:hAnsi="Times New Roman" w:eastAsia="黑体" w:cs="黑体"/>
          <w:szCs w:val="32"/>
        </w:rPr>
      </w:pPr>
      <w:r>
        <w:rPr>
          <w:rFonts w:hint="eastAsia" w:ascii="Times New Roman" w:hAnsi="Times New Roman" w:eastAsia="黑体" w:cs="黑体"/>
          <w:szCs w:val="32"/>
        </w:rPr>
        <w:t>第四章　安全管理</w:t>
      </w:r>
    </w:p>
    <w:p w14:paraId="4FCC6232">
      <w:pPr>
        <w:rPr>
          <w:rFonts w:ascii="Times New Roman" w:hAnsi="Times New Roman" w:eastAsia="宋体" w:cs="宋体"/>
          <w:szCs w:val="32"/>
        </w:rPr>
      </w:pPr>
    </w:p>
    <w:p w14:paraId="558E8B5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城市公共交通企业应当遵守有关安全生产的法律、法规和标准，落实全员安全生产责任，建立健全安全生产管理制度和安全生产责任制，保障安全经费投入，构建安全风险分级管控和隐患排查治理双重预防机制，增强突发事件防范和应急能力。</w:t>
      </w:r>
    </w:p>
    <w:p w14:paraId="017A54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城市公共交通建设工程的勘察、设计、施工、监理应当遵守有关建设工程管理的法律、法规和标准。</w:t>
      </w:r>
    </w:p>
    <w:p w14:paraId="06A89573">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城市公共交通建设工程涉及公共安全的设施应当与主体工程同步规划、同步建设、同步投入使用。</w:t>
      </w:r>
    </w:p>
    <w:p w14:paraId="50E716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城市公共交通企业投入运营的车辆应当依法经检验合格，并按照国家有关标准配备灭火器、安全锤以及安全隔离、紧急报警、车门紧急开启等安全设备，设置明显的安全警示标志。</w:t>
      </w:r>
    </w:p>
    <w:p w14:paraId="0406DA1B">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城市公共交通企业应当按照国家有关标准对车辆和有关系统、设施设备进行维护、保养，确保性能良好和安全运行。</w:t>
      </w:r>
    </w:p>
    <w:p w14:paraId="70719F01">
      <w:pPr>
        <w:ind w:firstLine="632" w:firstLineChars="200"/>
        <w:rPr>
          <w:rFonts w:ascii="Times New Roman" w:hAnsi="Times New Roman" w:cs="仿宋_GB2312"/>
          <w:sz w:val="32"/>
          <w:szCs w:val="32"/>
        </w:rPr>
      </w:pPr>
      <w:r>
        <w:rPr>
          <w:rFonts w:hint="eastAsia" w:ascii="Times New Roman" w:hAnsi="Times New Roman" w:cs="仿宋_GB2312"/>
          <w:sz w:val="32"/>
          <w:szCs w:val="32"/>
        </w:rPr>
        <w:t>利用城市公共交通车辆或者设施设备设置广告的，应当遵守有关广告管理的法律、法规，不得影响城市公共交通运营安全。</w:t>
      </w:r>
    </w:p>
    <w:p w14:paraId="12C8E0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城市公共交通企业直接涉及运营安全的驾驶员、乘务员、调度员、值班员、信号工、通信工等重点岗位人员（以下统称重点岗位人员），应当符合下列条件：</w:t>
      </w:r>
    </w:p>
    <w:p w14:paraId="262893BE">
      <w:pPr>
        <w:ind w:firstLine="632" w:firstLineChars="200"/>
        <w:rPr>
          <w:rFonts w:ascii="Times New Roman" w:hAnsi="Times New Roman" w:cs="仿宋_GB2312"/>
          <w:sz w:val="32"/>
          <w:szCs w:val="32"/>
        </w:rPr>
      </w:pPr>
      <w:r>
        <w:rPr>
          <w:rFonts w:hint="eastAsia" w:ascii="Times New Roman" w:hAnsi="Times New Roman" w:cs="仿宋_GB2312"/>
          <w:sz w:val="32"/>
          <w:szCs w:val="32"/>
        </w:rPr>
        <w:t>（一）具有履行岗位职责的能力；</w:t>
      </w:r>
    </w:p>
    <w:p w14:paraId="0795AFA0">
      <w:pPr>
        <w:ind w:firstLine="632" w:firstLineChars="200"/>
        <w:rPr>
          <w:rFonts w:ascii="Times New Roman" w:hAnsi="Times New Roman" w:cs="仿宋_GB2312"/>
          <w:sz w:val="32"/>
          <w:szCs w:val="32"/>
        </w:rPr>
      </w:pPr>
      <w:r>
        <w:rPr>
          <w:rFonts w:hint="eastAsia" w:ascii="Times New Roman" w:hAnsi="Times New Roman" w:cs="仿宋_GB2312"/>
          <w:sz w:val="32"/>
          <w:szCs w:val="32"/>
        </w:rPr>
        <w:t>（二）无可能危及运营安全的疾病；</w:t>
      </w:r>
    </w:p>
    <w:p w14:paraId="59AEF448">
      <w:pPr>
        <w:ind w:firstLine="632" w:firstLineChars="200"/>
        <w:rPr>
          <w:rFonts w:ascii="Times New Roman" w:hAnsi="Times New Roman" w:cs="仿宋_GB2312"/>
          <w:sz w:val="32"/>
          <w:szCs w:val="32"/>
        </w:rPr>
      </w:pPr>
      <w:r>
        <w:rPr>
          <w:rFonts w:hint="eastAsia" w:ascii="Times New Roman" w:hAnsi="Times New Roman" w:cs="仿宋_GB2312"/>
          <w:sz w:val="32"/>
          <w:szCs w:val="32"/>
        </w:rPr>
        <w:t>（三）无暴力犯罪和吸毒行为记录；</w:t>
      </w:r>
    </w:p>
    <w:p w14:paraId="716F02A9">
      <w:pPr>
        <w:ind w:firstLine="632" w:firstLineChars="200"/>
        <w:rPr>
          <w:rFonts w:ascii="Times New Roman" w:hAnsi="Times New Roman" w:cs="仿宋_GB2312"/>
          <w:sz w:val="32"/>
          <w:szCs w:val="32"/>
        </w:rPr>
      </w:pPr>
      <w:r>
        <w:rPr>
          <w:rFonts w:hint="eastAsia" w:ascii="Times New Roman" w:hAnsi="Times New Roman" w:cs="仿宋_GB2312"/>
          <w:sz w:val="32"/>
          <w:szCs w:val="32"/>
        </w:rPr>
        <w:t>（四）国务院城市公共交通主管部门规定的其他条件。</w:t>
      </w:r>
    </w:p>
    <w:p w14:paraId="25EA3948">
      <w:pPr>
        <w:ind w:firstLine="632" w:firstLineChars="200"/>
        <w:rPr>
          <w:rFonts w:ascii="Times New Roman" w:hAnsi="Times New Roman" w:cs="仿宋_GB2312"/>
          <w:sz w:val="32"/>
          <w:szCs w:val="32"/>
        </w:rPr>
      </w:pPr>
      <w:r>
        <w:rPr>
          <w:rFonts w:hint="eastAsia" w:ascii="Times New Roman" w:hAnsi="Times New Roman" w:cs="仿宋_GB2312"/>
          <w:sz w:val="32"/>
          <w:szCs w:val="32"/>
        </w:rPr>
        <w:t>除符合前款规定条件外，城市公共汽电车驾驶员还应当取得相应准驾车型机动车驾驶证，城市轨道交通列车驾驶员还应当按照国家有关规定取得相应职业准入资格。</w:t>
      </w:r>
    </w:p>
    <w:p w14:paraId="5732E5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城市公共交通企业应当定期对重点岗位人员进行岗位职责、操作规程、服务规范、安全防范和应急处置基本知识等方面的培训和考核，经考核合格的方可上岗作业。培训和考核情况应当建档备查。</w:t>
      </w:r>
    </w:p>
    <w:p w14:paraId="3363D7EA">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城市公共交通企业应当关注重点岗位人员的身体、心理状况和行为习惯，对重点岗位人员定期组织体检，加强心理疏导，及时采取有效措施防范重点岗位人员身体、心理状况或者行为异常导致运营安全事故发生。</w:t>
      </w:r>
    </w:p>
    <w:p w14:paraId="4FCBB543">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城市公共交通企业应当合理安排驾驶员工作时间，防止疲劳驾驶。</w:t>
      </w:r>
    </w:p>
    <w:p w14:paraId="7B8771A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城市公共交通企业应当依照有关法律、法规的规定，落实对相关人员进行安全背景审查、配备安保人员和相应设施设备等安全防范责任。</w:t>
      </w:r>
    </w:p>
    <w:p w14:paraId="7C0DFF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城市公共交通企业应当加强对客流状况的日常监测；出现或者可能出现客流大量积压时，应当及时采取疏导措施，必要时可以采取临时限制客流或者临时封站等措施，确保运营安全。</w:t>
      </w:r>
    </w:p>
    <w:p w14:paraId="5CE50E3D">
      <w:pPr>
        <w:ind w:firstLine="632" w:firstLineChars="200"/>
        <w:rPr>
          <w:rFonts w:ascii="Times New Roman" w:hAnsi="Times New Roman" w:cs="仿宋_GB2312"/>
          <w:sz w:val="32"/>
          <w:szCs w:val="32"/>
        </w:rPr>
      </w:pPr>
      <w:r>
        <w:rPr>
          <w:rFonts w:hint="eastAsia" w:ascii="Times New Roman" w:hAnsi="Times New Roman" w:cs="仿宋_GB2312"/>
          <w:sz w:val="32"/>
          <w:szCs w:val="32"/>
        </w:rPr>
        <w:t>因突发事件或者设施设备故障等原因危及运营安全的，城市公共交通企业可以暂停部分区段或者全线网运营服务，并做好乘客疏导和现场秩序维护等工作。乘客应当按照城市公共交通企业工作人员的指挥和引导有序疏散。</w:t>
      </w:r>
    </w:p>
    <w:p w14:paraId="25E83A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乘客应当遵守乘车规范，维护乘车秩序。</w:t>
      </w:r>
    </w:p>
    <w:p w14:paraId="32203006">
      <w:pPr>
        <w:ind w:firstLine="632" w:firstLineChars="200"/>
        <w:rPr>
          <w:rFonts w:ascii="Times New Roman" w:hAnsi="Times New Roman" w:cs="仿宋_GB2312"/>
          <w:sz w:val="32"/>
          <w:szCs w:val="32"/>
        </w:rPr>
      </w:pPr>
      <w:r>
        <w:rPr>
          <w:rFonts w:hint="eastAsia" w:ascii="Times New Roman" w:hAnsi="Times New Roman" w:cs="仿宋_GB2312"/>
          <w:sz w:val="32"/>
          <w:szCs w:val="32"/>
        </w:rPr>
        <w:t>乘客不得携带易燃、易爆、毒害性、放射性、腐蚀性以及其他可能危及人身和财产安全的危险物品进站乘车；乘客坚持携带的，城市公共交通企业应当拒绝其进站乘车。</w:t>
      </w:r>
    </w:p>
    <w:p w14:paraId="09C73950">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城市轨道交通运营单位应当按照国家有关规定，对进入城市轨道交通车站的人员及其携带物品进行安全检查；对拒不接受安全检查的，应当拒绝其进站乘车。安全检查应当遵守有关操作规范，提高质量和效率。</w:t>
      </w:r>
    </w:p>
    <w:p w14:paraId="2F45BC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任何单位和个人不得实施下列危害城市公共交通运营安全的行为：</w:t>
      </w:r>
    </w:p>
    <w:p w14:paraId="62B25A4B">
      <w:pPr>
        <w:ind w:firstLine="632" w:firstLineChars="200"/>
        <w:rPr>
          <w:rFonts w:ascii="Times New Roman" w:hAnsi="Times New Roman" w:cs="仿宋_GB2312"/>
          <w:sz w:val="32"/>
          <w:szCs w:val="32"/>
        </w:rPr>
      </w:pPr>
      <w:r>
        <w:rPr>
          <w:rFonts w:hint="eastAsia" w:ascii="Times New Roman" w:hAnsi="Times New Roman" w:cs="仿宋_GB2312"/>
          <w:sz w:val="32"/>
          <w:szCs w:val="32"/>
        </w:rPr>
        <w:t>（一）非法拦截或者强行上下城市公共交通车辆；</w:t>
      </w:r>
    </w:p>
    <w:p w14:paraId="3E384C57">
      <w:pPr>
        <w:ind w:firstLine="632" w:firstLineChars="200"/>
        <w:rPr>
          <w:rFonts w:ascii="Times New Roman" w:hAnsi="Times New Roman" w:cs="仿宋_GB2312"/>
          <w:sz w:val="32"/>
          <w:szCs w:val="32"/>
        </w:rPr>
      </w:pPr>
      <w:r>
        <w:rPr>
          <w:rFonts w:hint="eastAsia" w:ascii="Times New Roman" w:hAnsi="Times New Roman" w:cs="仿宋_GB2312"/>
          <w:sz w:val="32"/>
          <w:szCs w:val="32"/>
        </w:rPr>
        <w:t>（二）非法占用城市公共交通场站或者出入口；</w:t>
      </w:r>
    </w:p>
    <w:p w14:paraId="55D80DC9">
      <w:pPr>
        <w:ind w:firstLine="632" w:firstLineChars="200"/>
        <w:rPr>
          <w:rFonts w:ascii="Times New Roman" w:hAnsi="Times New Roman" w:cs="仿宋_GB2312"/>
          <w:sz w:val="32"/>
          <w:szCs w:val="32"/>
        </w:rPr>
      </w:pPr>
      <w:r>
        <w:rPr>
          <w:rFonts w:hint="eastAsia" w:ascii="Times New Roman" w:hAnsi="Times New Roman" w:cs="仿宋_GB2312"/>
          <w:sz w:val="32"/>
          <w:szCs w:val="32"/>
        </w:rPr>
        <w:t>（三）擅自进入城市轨道交通线路、车辆基地、控制中心、列车驾驶室或者其他禁止非工作人员进入的区域；</w:t>
      </w:r>
    </w:p>
    <w:p w14:paraId="719D10B4">
      <w:pPr>
        <w:ind w:firstLine="632" w:firstLineChars="200"/>
        <w:rPr>
          <w:rFonts w:ascii="Times New Roman" w:hAnsi="Times New Roman" w:cs="仿宋_GB2312"/>
          <w:sz w:val="32"/>
          <w:szCs w:val="32"/>
        </w:rPr>
      </w:pPr>
      <w:r>
        <w:rPr>
          <w:rFonts w:hint="eastAsia" w:ascii="Times New Roman" w:hAnsi="Times New Roman" w:cs="仿宋_GB2312"/>
          <w:sz w:val="32"/>
          <w:szCs w:val="32"/>
        </w:rPr>
        <w:t>（四）向城市公共交通车辆投掷物品或者在城市轨道交通线路上放置障碍物；</w:t>
      </w:r>
    </w:p>
    <w:p w14:paraId="60FF1478">
      <w:pPr>
        <w:ind w:firstLine="632" w:firstLineChars="200"/>
        <w:rPr>
          <w:rFonts w:ascii="Times New Roman" w:hAnsi="Times New Roman" w:cs="仿宋_GB2312"/>
          <w:sz w:val="32"/>
          <w:szCs w:val="32"/>
        </w:rPr>
      </w:pPr>
      <w:r>
        <w:rPr>
          <w:rFonts w:hint="eastAsia" w:ascii="Times New Roman" w:hAnsi="Times New Roman" w:cs="仿宋_GB2312"/>
          <w:sz w:val="32"/>
          <w:szCs w:val="32"/>
        </w:rPr>
        <w:t>（五）故意损坏或者擅自移动、遮挡城市公共交通站牌、安全警示标志、监控设备、安全防护设备；</w:t>
      </w:r>
    </w:p>
    <w:p w14:paraId="5356217E">
      <w:pPr>
        <w:ind w:firstLine="632" w:firstLineChars="200"/>
        <w:rPr>
          <w:rFonts w:ascii="Times New Roman" w:hAnsi="Times New Roman" w:cs="仿宋_GB2312"/>
          <w:sz w:val="32"/>
          <w:szCs w:val="32"/>
        </w:rPr>
      </w:pPr>
      <w:r>
        <w:rPr>
          <w:rFonts w:hint="eastAsia" w:ascii="Times New Roman" w:hAnsi="Times New Roman" w:cs="仿宋_GB2312"/>
          <w:sz w:val="32"/>
          <w:szCs w:val="32"/>
        </w:rPr>
        <w:t>（六）在非紧急状态下擅自操作有安全警示标志的安全设备；</w:t>
      </w:r>
    </w:p>
    <w:p w14:paraId="76F51980">
      <w:pPr>
        <w:ind w:firstLine="632" w:firstLineChars="200"/>
        <w:rPr>
          <w:rFonts w:ascii="Times New Roman" w:hAnsi="Times New Roman" w:cs="仿宋_GB2312"/>
          <w:sz w:val="32"/>
          <w:szCs w:val="32"/>
        </w:rPr>
      </w:pPr>
      <w:r>
        <w:rPr>
          <w:rFonts w:hint="eastAsia" w:ascii="Times New Roman" w:hAnsi="Times New Roman" w:cs="仿宋_GB2312"/>
          <w:sz w:val="32"/>
          <w:szCs w:val="32"/>
        </w:rPr>
        <w:t>（七）干扰、阻碍城市公共交通车辆驾驶员安全驾驶；</w:t>
      </w:r>
    </w:p>
    <w:p w14:paraId="134146E1">
      <w:pPr>
        <w:ind w:firstLine="632" w:firstLineChars="200"/>
        <w:rPr>
          <w:rFonts w:ascii="Times New Roman" w:hAnsi="Times New Roman" w:cs="仿宋_GB2312"/>
          <w:sz w:val="32"/>
          <w:szCs w:val="32"/>
        </w:rPr>
      </w:pPr>
      <w:r>
        <w:rPr>
          <w:rFonts w:hint="eastAsia" w:ascii="Times New Roman" w:hAnsi="Times New Roman" w:cs="仿宋_GB2312"/>
          <w:sz w:val="32"/>
          <w:szCs w:val="32"/>
        </w:rPr>
        <w:t>（八）其他危害城市公共交通运营安全的行为。</w:t>
      </w:r>
    </w:p>
    <w:p w14:paraId="3B777B13">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城市公共交通企业发现前款规定行为的，应当及时予以制止，并采取措施消除安全隐患，必要时报请有关部门依法处理。</w:t>
      </w:r>
    </w:p>
    <w:p w14:paraId="2AABE3A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城市人民政府有关部门应当按照职责分工，加强对城市公共交通运营安全的监督管理，建立城市公共交通运营安全工作协作机制。</w:t>
      </w:r>
    </w:p>
    <w:p w14:paraId="6C0D23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城市人民政府城市公共交通主管部门应当会同有关部门制定城市公共交通应急预案，报城市人民政府批准。</w:t>
      </w:r>
    </w:p>
    <w:p w14:paraId="3A397F54">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城市公共交通企业应当根据城市公共交通应急预案，制定本单位应急预案，报城市人民政府城市公共交通主管部门、应急管理部门备案，并定期组织演练。</w:t>
      </w:r>
    </w:p>
    <w:p w14:paraId="33A6575F">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城市人民政府应当加强城市公共交通应急能力建设，组织有关部门、城市公共交通企业和其他有关单位联合开展城市公共交通应急处置演练，提高突发事件应急处置能力。</w:t>
      </w:r>
    </w:p>
    <w:p w14:paraId="56C919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城市人民政府应当健全有关部门与城市公共交通企业之间的信息共享机制。城市人民政府城市公共交通主管部门、城市公共交通企业应当加强与有关部门的沟通，及时掌握气象、自然灾害、公共安全等方面可能影响城市公共交通运营安全的信息，并采取有针对性的安全防范措施。有关部门应当予以支持、配合。</w:t>
      </w:r>
    </w:p>
    <w:p w14:paraId="2F3D30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城市人民政府应当将城市轨道交通纳入城市防灾减灾规划，完善城市轨道交通防范水淹、火灾、冰雪、雷击、风暴等设计和论证，提高城市轨道交通灾害防范应对能力。</w:t>
      </w:r>
    </w:p>
    <w:p w14:paraId="40B490E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城市轨道交通建设单位组织编制城市轨道交通建设工程可行性研究报告和初步设计文件，应当落实国家有关公共安全和运营服务的要求。</w:t>
      </w:r>
    </w:p>
    <w:p w14:paraId="0C9795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城市轨道交通建设工程项目依法经验收合格后，城市人民政府城市公共交通主管部门应当组织开展运营前安全评估，通过安全评估的方可投入运营。城市轨道交通建设单位和运营单位应当按照国家有关规定办理建设和运营交接手续。</w:t>
      </w:r>
    </w:p>
    <w:p w14:paraId="50235E35">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城市轨道交通建设工程项目验收以及建设和运营交接的管理办法由国务院住房城乡建设主管部门会同国务院城市公共交通主管部门制定。</w:t>
      </w:r>
    </w:p>
    <w:p w14:paraId="707467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城市人民政府应当组织有关部门划定城市轨道交通线路安全保护区，制定安全保护区管理制度。</w:t>
      </w:r>
    </w:p>
    <w:p w14:paraId="19096946">
      <w:pPr>
        <w:ind w:firstLine="632" w:firstLineChars="200"/>
        <w:rPr>
          <w:rFonts w:ascii="Times New Roman" w:hAnsi="Times New Roman" w:cs="仿宋_GB2312"/>
          <w:sz w:val="32"/>
          <w:szCs w:val="32"/>
        </w:rPr>
      </w:pPr>
      <w:r>
        <w:rPr>
          <w:rFonts w:hint="eastAsia" w:ascii="Times New Roman" w:hAnsi="Times New Roman" w:cs="仿宋_GB2312"/>
          <w:sz w:val="32"/>
          <w:szCs w:val="32"/>
        </w:rPr>
        <w:t>在城市轨道交通线路安全保护区内进行作业的，应当征得城市轨道交通运营单位同意。作业单位应当制定和落实安全防护方案，并在作业过程中对作业影响区域进行动态监测，及时发现并消除安全隐患。城市轨道交通运营单位可以进入作业现场进行巡查，发现作业危及或者可能危及城市轨道交通运营安全的，应当要求作业单位采取措施消除安全隐患或者停止作业。</w:t>
      </w:r>
    </w:p>
    <w:p w14:paraId="0CA1AF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城市人民政府城市公共交通主管部门应当定期组织开展城市轨道交通运营安全第三方评估，督促运营单位及时发现并消除安全隐患。</w:t>
      </w:r>
    </w:p>
    <w:p w14:paraId="7008CA7E">
      <w:pPr>
        <w:rPr>
          <w:rFonts w:ascii="Times New Roman" w:hAnsi="Times New Roman" w:eastAsia="宋体" w:cs="宋体"/>
          <w:szCs w:val="32"/>
        </w:rPr>
      </w:pPr>
    </w:p>
    <w:p w14:paraId="01E5705E">
      <w:pPr>
        <w:jc w:val="center"/>
        <w:rPr>
          <w:rFonts w:ascii="Times New Roman" w:hAnsi="Times New Roman" w:eastAsia="黑体" w:cs="黑体"/>
          <w:szCs w:val="32"/>
        </w:rPr>
      </w:pPr>
      <w:r>
        <w:rPr>
          <w:rFonts w:hint="eastAsia" w:ascii="Times New Roman" w:hAnsi="Times New Roman" w:eastAsia="黑体" w:cs="黑体"/>
          <w:szCs w:val="32"/>
        </w:rPr>
        <w:t>第五章　法律责任</w:t>
      </w:r>
    </w:p>
    <w:p w14:paraId="3DC5BAA4">
      <w:pPr>
        <w:rPr>
          <w:rFonts w:ascii="Times New Roman" w:hAnsi="Times New Roman" w:eastAsia="宋体" w:cs="宋体"/>
          <w:szCs w:val="32"/>
        </w:rPr>
      </w:pPr>
    </w:p>
    <w:p w14:paraId="48ADC9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城市公共交通企业以外的单位或者个人擅自从事城市公共交通线路运营的，由城市人民政府城市公共交通主管部门责令停止运营，没收违法所得，并处违法所得1倍以上5倍以下的罚款；没有违法所得或者违法所得不足1万元的，处1万元以上5万元以下的罚款。</w:t>
      </w:r>
    </w:p>
    <w:p w14:paraId="252C9BF7">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城市公共交通企业将其运营的城市公共交通线路转让、出租或者变相转让、出租给他人运营的，由城市人民政府城市公共交通主管部门责令改正，并依照前款规定处罚。</w:t>
      </w:r>
    </w:p>
    <w:p w14:paraId="6C1A893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城市公共交通企业有下列行为之一的，由城市人民政府城市公共交通主管部门责令改正；拒不改正的，处1万元以上5万元以下的罚款：</w:t>
      </w:r>
    </w:p>
    <w:p w14:paraId="6F06FEBA">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（一）未遵守城市公共交通运营有关服务标准、规范、要求；</w:t>
      </w:r>
    </w:p>
    <w:p w14:paraId="5C0E8DA4">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（二）未按照规定配备城市公共交通车辆或者设置车辆运营服务标识；</w:t>
      </w:r>
    </w:p>
    <w:p w14:paraId="5DDED043">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（三）未公开运营线路、停靠站点、运营时间、发车间隔、票价等信息。</w:t>
      </w:r>
    </w:p>
    <w:p w14:paraId="125BBD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城市公共交通企业擅自变更运营线路、停靠站点、运营时间的，由城市人民政府城市公共交通主管部门责令改正；拒不改正的，处1万元以上5万元以下的罚款。</w:t>
      </w:r>
    </w:p>
    <w:p w14:paraId="77DB2217">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城市公共交通企业擅自中断运营服务的，由城市人民政府城市公共交通主管部门责令改正；拒不改正的，处5万元以上20万元以下的罚款。</w:t>
      </w:r>
    </w:p>
    <w:p w14:paraId="406091E0">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公共交通企业因特殊原因变更运营线路、停靠站点、运营时间或者暂时中断运营服务，未按照规定向社会公告并向城市人民政府城市公共交通主管部门报告的，由城市人民政府城市公共交通主管部门责令改正，可以处1万元以下的罚款。</w:t>
      </w:r>
    </w:p>
    <w:p w14:paraId="781861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城市公共交通企业违反本条例规定，未经城市人民政府同意终止运营服务的，由城市人民政府城市公共交通主管部门责令改正；拒不改正的，处10万元以上50万元以下的罚款。</w:t>
      </w:r>
    </w:p>
    <w:p w14:paraId="1BE5229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城市公共交通企业有下列行为之一的，由城市人民政府城市公共交通主管部门责令改正，可以处5万元以下的罚款，有违法所得的，没收违法所得；拒不改正的，处5万元以上20万元以下的罚款：</w:t>
      </w:r>
    </w:p>
    <w:p w14:paraId="038200C2">
      <w:pPr>
        <w:ind w:firstLine="632" w:firstLineChars="200"/>
        <w:rPr>
          <w:rFonts w:ascii="Times New Roman" w:hAnsi="Times New Roman" w:cs="仿宋_GB2312"/>
          <w:sz w:val="32"/>
          <w:szCs w:val="32"/>
        </w:rPr>
      </w:pPr>
      <w:r>
        <w:rPr>
          <w:rFonts w:hint="eastAsia" w:ascii="Times New Roman" w:hAnsi="Times New Roman" w:cs="仿宋_GB2312"/>
          <w:sz w:val="32"/>
          <w:szCs w:val="32"/>
        </w:rPr>
        <w:t>（一）利用城市公共交通车辆或者设施设备设置广告，影响城市公共交通运营安全；</w:t>
      </w:r>
    </w:p>
    <w:p w14:paraId="45D1A48A">
      <w:pPr>
        <w:ind w:firstLine="632" w:firstLineChars="200"/>
        <w:rPr>
          <w:rFonts w:ascii="Times New Roman" w:hAnsi="Times New Roman" w:cs="仿宋_GB2312"/>
          <w:sz w:val="32"/>
          <w:szCs w:val="32"/>
        </w:rPr>
      </w:pPr>
      <w:r>
        <w:rPr>
          <w:rFonts w:hint="eastAsia" w:ascii="Times New Roman" w:hAnsi="Times New Roman" w:cs="仿宋_GB2312"/>
          <w:sz w:val="32"/>
          <w:szCs w:val="32"/>
        </w:rPr>
        <w:t>（二）重点岗位人员不符合规定条件或者未按照规定对重点岗位人员进行培训和考核，或者安排考核不合格的重点岗位人员上岗作业。</w:t>
      </w:r>
    </w:p>
    <w:p w14:paraId="796C87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在城市轨道交通线路安全保护区内进行作业的单位有下列行为之一的，由城市人民政府城市公共交通主管部门责令改正，暂时停止作业，可以处5万元以下的罚款；拒不改正的，责令停止作业，并处5万元以上20万元以下的罚款；造成城市轨道交通设施损坏或者影响运营安全的，并处20万元以上100万元以下的罚款：</w:t>
      </w:r>
    </w:p>
    <w:p w14:paraId="70FFE9C5">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（一）未征得城市轨道交通运营单位同意进行作业；</w:t>
      </w:r>
    </w:p>
    <w:p w14:paraId="24C28F8F">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（二）未制定和落实安全防护方案；</w:t>
      </w:r>
    </w:p>
    <w:p w14:paraId="5B77FF7B">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（三）未在作业过程中对作业影响区域进行动态监测或者未及时消除发现的安全隐患。</w:t>
      </w:r>
    </w:p>
    <w:p w14:paraId="543AA24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城市人民政府及其城市公共交通主管部门、其他有关部门的工作人员在城市公共交通工作中滥用职权、玩忽职守、徇私舞弊的，依法给予处分。</w:t>
      </w:r>
    </w:p>
    <w:p w14:paraId="379193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违反本条例规定，构成违反治安管理行为的，由公安机关依法给予治安管理处罚；构成犯罪的，依法追究刑事责任。</w:t>
      </w:r>
    </w:p>
    <w:p w14:paraId="566610FC">
      <w:pPr>
        <w:rPr>
          <w:rFonts w:ascii="Times New Roman" w:hAnsi="Times New Roman" w:eastAsia="宋体" w:cs="宋体"/>
          <w:szCs w:val="32"/>
        </w:rPr>
      </w:pPr>
    </w:p>
    <w:p w14:paraId="449C6C21">
      <w:pPr>
        <w:jc w:val="center"/>
        <w:rPr>
          <w:rFonts w:ascii="Times New Roman" w:hAnsi="Times New Roman" w:eastAsia="黑体" w:cs="黑体"/>
          <w:szCs w:val="32"/>
        </w:rPr>
      </w:pPr>
      <w:r>
        <w:rPr>
          <w:rFonts w:hint="eastAsia" w:ascii="Times New Roman" w:hAnsi="Times New Roman" w:eastAsia="黑体" w:cs="黑体"/>
          <w:szCs w:val="32"/>
        </w:rPr>
        <w:t>第六章　附　　</w:t>
      </w:r>
      <w:bookmarkStart w:id="0" w:name="_GoBack"/>
      <w:bookmarkEnd w:id="0"/>
      <w:r>
        <w:rPr>
          <w:rFonts w:hint="eastAsia" w:ascii="Times New Roman" w:hAnsi="Times New Roman" w:eastAsia="黑体" w:cs="黑体"/>
          <w:szCs w:val="32"/>
        </w:rPr>
        <w:t>则</w:t>
      </w:r>
    </w:p>
    <w:p w14:paraId="4319B380">
      <w:pPr>
        <w:rPr>
          <w:rFonts w:ascii="Times New Roman" w:hAnsi="Times New Roman" w:eastAsia="宋体" w:cs="宋体"/>
          <w:szCs w:val="32"/>
        </w:rPr>
      </w:pPr>
    </w:p>
    <w:p w14:paraId="5CE12A0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用于公共交通服务的城市轮渡，参照本条例的有关规定执行。</w:t>
      </w:r>
    </w:p>
    <w:p w14:paraId="5F648D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城市人民政府根据城乡融合和区域协调发展需要，统筹推进城乡之间、区域之间公共交通一体化发展。</w:t>
      </w:r>
    </w:p>
    <w:p w14:paraId="4DC37D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本条例自2024年12月1日起施行。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5A77C1C"/>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6941</Words>
  <Characters>6954</Characters>
  <Lines>87</Lines>
  <Paragraphs>24</Paragraphs>
  <TotalTime>67</TotalTime>
  <ScaleCrop>false</ScaleCrop>
  <LinksUpToDate>false</LinksUpToDate>
  <CharactersWithSpaces>7019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2024-10-25T06:39:50Z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30BA6D1AF37946A7A3E6FFCDD1558B4C_13</vt:lpwstr>
  </property>
  <property fmtid="{D5CDD505-2E9C-101B-9397-08002B2CF9AE}" pid="3" name="KSOProductBuildVer">
    <vt:lpwstr>2052-12.1.0.18608</vt:lpwstr>
  </property>
</Properties>
</file>