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sz w:val="32"/>
          <w:szCs w:val="32"/>
          <w:lang w:eastAsia="zh-CN"/>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b w:val="0"/>
          <w:bCs w:val="0"/>
          <w:color w:val="000000"/>
          <w:kern w:val="0"/>
          <w:sz w:val="44"/>
          <w:szCs w:val="44"/>
        </w:rPr>
      </w:pPr>
      <w:r>
        <w:rPr>
          <w:rFonts w:hint="eastAsia" w:ascii="宋体" w:hAnsi="宋体" w:eastAsia="宋体" w:cs="宋体"/>
          <w:b w:val="0"/>
          <w:bCs w:val="0"/>
          <w:color w:val="000000"/>
          <w:kern w:val="0"/>
          <w:sz w:val="44"/>
          <w:szCs w:val="44"/>
        </w:rPr>
        <w:t>宁夏回族自治区气象灾害防御条例</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firstLine="831" w:firstLineChars="189"/>
        <w:jc w:val="both"/>
        <w:textAlignment w:val="auto"/>
        <w:outlineLvl w:val="9"/>
        <w:rPr>
          <w:rFonts w:hint="eastAsia" w:ascii="仿宋_GB2312" w:hAnsi="Courier New" w:eastAsia="楷体_GB2312" w:cs="Times New Roman"/>
          <w:color w:val="000000"/>
          <w:kern w:val="2"/>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639" w:leftChars="0" w:right="474" w:rightChars="226" w:hanging="639" w:hangingChars="213"/>
        <w:jc w:val="left"/>
        <w:textAlignment w:val="auto"/>
        <w:outlineLvl w:val="9"/>
        <w:rPr>
          <w:rFonts w:hint="eastAsia" w:ascii="仿宋" w:hAnsi="仿宋" w:eastAsia="仿宋" w:cs="仿宋"/>
          <w:color w:val="000000"/>
          <w:sz w:val="30"/>
          <w:szCs w:val="30"/>
          <w:lang w:eastAsia="zh-CN"/>
        </w:rPr>
      </w:pPr>
      <w:r>
        <w:rPr>
          <w:rFonts w:hint="eastAsia" w:ascii="仿宋" w:hAnsi="仿宋" w:eastAsia="仿宋" w:cs="仿宋"/>
          <w:bCs/>
          <w:color w:val="000000"/>
          <w:sz w:val="30"/>
          <w:szCs w:val="30"/>
          <w:lang w:val="en-US" w:eastAsia="zh-CN"/>
        </w:rPr>
        <w:t xml:space="preserve">    </w:t>
      </w:r>
      <w:r>
        <w:rPr>
          <w:rFonts w:hint="eastAsia" w:ascii="楷体" w:hAnsi="楷体" w:eastAsia="楷体" w:cs="楷体"/>
          <w:bCs/>
          <w:color w:val="000000"/>
          <w:sz w:val="30"/>
          <w:szCs w:val="30"/>
          <w:lang w:eastAsia="zh-CN"/>
        </w:rPr>
        <w:t>(2009年7月31日宁夏回族自治区第十届人民代表大会常务委员会第十一次会议通过</w:t>
      </w:r>
      <w:r>
        <w:rPr>
          <w:rFonts w:hint="eastAsia" w:ascii="楷体" w:hAnsi="楷体" w:eastAsia="楷体" w:cs="楷体"/>
          <w:bCs/>
          <w:color w:val="000000"/>
          <w:sz w:val="30"/>
          <w:szCs w:val="30"/>
          <w:lang w:val="en-US" w:eastAsia="zh-CN"/>
        </w:rPr>
        <w:t xml:space="preserve"> </w:t>
      </w:r>
      <w:r>
        <w:rPr>
          <w:rFonts w:hint="eastAsia" w:ascii="楷体" w:hAnsi="楷体" w:eastAsia="楷体" w:cs="楷体"/>
          <w:kern w:val="2"/>
          <w:sz w:val="21"/>
          <w:szCs w:val="20"/>
          <w:lang w:val="en-US" w:eastAsia="zh-CN"/>
        </w:rPr>
        <w:t xml:space="preserve"> </w:t>
      </w:r>
      <w:r>
        <w:rPr>
          <w:rFonts w:hint="eastAsia" w:ascii="楷体" w:hAnsi="楷体" w:eastAsia="楷体" w:cs="楷体"/>
          <w:bCs/>
          <w:color w:val="000000"/>
          <w:sz w:val="30"/>
          <w:szCs w:val="30"/>
          <w:lang w:eastAsia="zh-CN"/>
        </w:rPr>
        <w:t>根据</w:t>
      </w:r>
      <w:r>
        <w:rPr>
          <w:rFonts w:hint="eastAsia" w:ascii="楷体" w:hAnsi="楷体" w:eastAsia="楷体" w:cs="楷体"/>
          <w:bCs/>
          <w:color w:val="000000"/>
          <w:sz w:val="30"/>
          <w:szCs w:val="30"/>
        </w:rPr>
        <w:t>20</w:t>
      </w:r>
      <w:r>
        <w:rPr>
          <w:rFonts w:hint="eastAsia" w:ascii="楷体" w:hAnsi="楷体" w:eastAsia="楷体" w:cs="楷体"/>
          <w:bCs/>
          <w:color w:val="000000"/>
          <w:sz w:val="30"/>
          <w:szCs w:val="30"/>
          <w:lang w:val="en-US" w:eastAsia="zh-CN"/>
        </w:rPr>
        <w:t>20</w:t>
      </w:r>
      <w:r>
        <w:rPr>
          <w:rFonts w:hint="eastAsia" w:ascii="楷体" w:hAnsi="楷体" w:eastAsia="楷体" w:cs="楷体"/>
          <w:bCs/>
          <w:color w:val="000000"/>
          <w:sz w:val="30"/>
          <w:szCs w:val="30"/>
        </w:rPr>
        <w:t>年</w:t>
      </w:r>
      <w:r>
        <w:rPr>
          <w:rFonts w:hint="eastAsia" w:ascii="楷体" w:hAnsi="楷体" w:eastAsia="楷体" w:cs="楷体"/>
          <w:bCs/>
          <w:color w:val="000000"/>
          <w:sz w:val="30"/>
          <w:szCs w:val="30"/>
          <w:lang w:val="en-US" w:eastAsia="zh-CN"/>
        </w:rPr>
        <w:t>11</w:t>
      </w:r>
      <w:r>
        <w:rPr>
          <w:rFonts w:hint="eastAsia" w:ascii="楷体" w:hAnsi="楷体" w:eastAsia="楷体" w:cs="楷体"/>
          <w:bCs/>
          <w:color w:val="000000"/>
          <w:sz w:val="30"/>
          <w:szCs w:val="30"/>
        </w:rPr>
        <w:t>月</w:t>
      </w:r>
      <w:r>
        <w:rPr>
          <w:rFonts w:hint="eastAsia" w:ascii="楷体" w:hAnsi="楷体" w:eastAsia="楷体" w:cs="楷体"/>
          <w:bCs/>
          <w:color w:val="000000"/>
          <w:sz w:val="30"/>
          <w:szCs w:val="30"/>
          <w:lang w:val="en-US" w:eastAsia="zh-CN"/>
        </w:rPr>
        <w:t>25</w:t>
      </w:r>
      <w:r>
        <w:rPr>
          <w:rFonts w:hint="eastAsia" w:ascii="楷体" w:hAnsi="楷体" w:eastAsia="楷体" w:cs="楷体"/>
          <w:bCs/>
          <w:color w:val="000000"/>
          <w:sz w:val="30"/>
          <w:szCs w:val="30"/>
        </w:rPr>
        <w:t>日</w:t>
      </w:r>
      <w:r>
        <w:rPr>
          <w:rFonts w:hint="eastAsia" w:ascii="楷体" w:hAnsi="楷体" w:eastAsia="楷体" w:cs="楷体"/>
          <w:bCs/>
          <w:color w:val="000000"/>
          <w:sz w:val="30"/>
          <w:szCs w:val="30"/>
          <w:lang w:eastAsia="zh-CN"/>
        </w:rPr>
        <w:t>宁夏回族自治区</w:t>
      </w:r>
      <w:r>
        <w:rPr>
          <w:rFonts w:hint="eastAsia" w:ascii="楷体" w:hAnsi="楷体" w:eastAsia="楷体" w:cs="楷体"/>
          <w:bCs/>
          <w:color w:val="000000"/>
          <w:sz w:val="30"/>
          <w:szCs w:val="30"/>
        </w:rPr>
        <w:t>第十</w:t>
      </w:r>
      <w:r>
        <w:rPr>
          <w:rFonts w:hint="eastAsia" w:ascii="楷体" w:hAnsi="楷体" w:eastAsia="楷体" w:cs="楷体"/>
          <w:bCs/>
          <w:color w:val="000000"/>
          <w:sz w:val="30"/>
          <w:szCs w:val="30"/>
          <w:lang w:eastAsia="zh-CN"/>
        </w:rPr>
        <w:t>二</w:t>
      </w:r>
      <w:r>
        <w:rPr>
          <w:rFonts w:hint="eastAsia" w:ascii="楷体" w:hAnsi="楷体" w:eastAsia="楷体" w:cs="楷体"/>
          <w:bCs/>
          <w:color w:val="000000"/>
          <w:sz w:val="30"/>
          <w:szCs w:val="30"/>
        </w:rPr>
        <w:t>届人民代表大会常务委员会第</w:t>
      </w:r>
      <w:r>
        <w:rPr>
          <w:rFonts w:hint="eastAsia" w:ascii="楷体" w:hAnsi="楷体" w:eastAsia="楷体" w:cs="楷体"/>
          <w:bCs/>
          <w:color w:val="000000"/>
          <w:sz w:val="30"/>
          <w:szCs w:val="30"/>
          <w:lang w:eastAsia="zh-CN"/>
        </w:rPr>
        <w:t>二十三</w:t>
      </w:r>
      <w:r>
        <w:rPr>
          <w:rFonts w:hint="eastAsia" w:ascii="楷体" w:hAnsi="楷体" w:eastAsia="楷体" w:cs="楷体"/>
          <w:bCs/>
          <w:color w:val="000000"/>
          <w:sz w:val="30"/>
          <w:szCs w:val="30"/>
        </w:rPr>
        <w:t>次会议</w:t>
      </w:r>
      <w:r>
        <w:rPr>
          <w:rFonts w:hint="eastAsia" w:ascii="楷体" w:hAnsi="楷体" w:eastAsia="楷体" w:cs="楷体"/>
          <w:bCs/>
          <w:color w:val="000000"/>
          <w:sz w:val="30"/>
          <w:szCs w:val="30"/>
          <w:lang w:val="en-US" w:eastAsia="zh-CN"/>
        </w:rPr>
        <w:t>《关于修改〈宁夏回族自治区气象灾害防御条例</w:t>
      </w:r>
      <w:r>
        <w:rPr>
          <w:rFonts w:hint="eastAsia" w:ascii="楷体" w:hAnsi="楷体" w:eastAsia="楷体" w:cs="楷体"/>
          <w:color w:val="000000"/>
          <w:sz w:val="30"/>
          <w:szCs w:val="30"/>
        </w:rPr>
        <w:t>〉</w:t>
      </w:r>
      <w:r>
        <w:rPr>
          <w:rFonts w:hint="eastAsia" w:ascii="楷体" w:hAnsi="楷体" w:eastAsia="楷体" w:cs="楷体"/>
          <w:color w:val="000000"/>
          <w:sz w:val="30"/>
          <w:szCs w:val="30"/>
          <w:lang w:val="en-US" w:eastAsia="zh-CN"/>
        </w:rPr>
        <w:t>的决定</w:t>
      </w:r>
      <w:r>
        <w:rPr>
          <w:rFonts w:hint="eastAsia" w:ascii="楷体" w:hAnsi="楷体" w:eastAsia="楷体" w:cs="楷体"/>
          <w:color w:val="000000"/>
          <w:sz w:val="30"/>
          <w:szCs w:val="30"/>
        </w:rPr>
        <w:t>》</w:t>
      </w:r>
      <w:r>
        <w:rPr>
          <w:rFonts w:hint="eastAsia" w:ascii="楷体" w:hAnsi="楷体" w:eastAsia="楷体" w:cs="楷体"/>
          <w:color w:val="000000"/>
          <w:sz w:val="30"/>
          <w:szCs w:val="30"/>
          <w:lang w:eastAsia="zh-CN"/>
        </w:rPr>
        <w:t>修正）</w:t>
      </w:r>
    </w:p>
    <w:p>
      <w:pPr>
        <w:jc w:val="center"/>
        <w:rPr>
          <w:rFonts w:hint="eastAsia" w:ascii="楷体" w:hAnsi="楷体" w:eastAsia="楷体" w:cs="楷体"/>
          <w:b w:val="0"/>
          <w:bCs w:val="0"/>
          <w:color w:val="000000"/>
          <w:sz w:val="32"/>
          <w:szCs w:val="32"/>
          <w:lang w:eastAsia="zh-CN"/>
        </w:rPr>
      </w:pPr>
    </w:p>
    <w:p>
      <w:pPr>
        <w:jc w:val="center"/>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目</w:t>
      </w:r>
      <w:r>
        <w:rPr>
          <w:rFonts w:hint="eastAsia" w:ascii="楷体" w:hAnsi="楷体" w:eastAsia="楷体" w:cs="楷体"/>
          <w:b w:val="0"/>
          <w:bCs w:val="0"/>
          <w:color w:val="000000"/>
          <w:sz w:val="32"/>
          <w:szCs w:val="32"/>
          <w:lang w:val="en-US" w:eastAsia="zh-CN"/>
        </w:rPr>
        <w:t xml:space="preserve">    </w:t>
      </w:r>
      <w:r>
        <w:rPr>
          <w:rFonts w:hint="eastAsia" w:ascii="楷体" w:hAnsi="楷体" w:eastAsia="楷体" w:cs="楷体"/>
          <w:b w:val="0"/>
          <w:bCs w:val="0"/>
          <w:color w:val="000000"/>
          <w:sz w:val="32"/>
          <w:szCs w:val="32"/>
          <w:lang w:eastAsia="zh-CN"/>
        </w:rPr>
        <w:t>录</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w:t>
      </w:r>
      <w:r>
        <w:rPr>
          <w:rFonts w:hint="eastAsia" w:ascii="楷体" w:hAnsi="楷体" w:eastAsia="楷体" w:cs="楷体"/>
          <w:b w:val="0"/>
          <w:bCs w:val="0"/>
          <w:color w:val="000000"/>
          <w:sz w:val="32"/>
          <w:szCs w:val="32"/>
          <w:lang w:eastAsia="zh-CN"/>
        </w:rPr>
        <w:t>第一章</w:t>
      </w:r>
      <w:r>
        <w:rPr>
          <w:rFonts w:hint="eastAsia" w:ascii="楷体" w:hAnsi="楷体" w:eastAsia="楷体" w:cs="楷体"/>
          <w:b w:val="0"/>
          <w:bCs w:val="0"/>
          <w:color w:val="000000"/>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第二章 </w:t>
      </w:r>
      <w:r>
        <w:rPr>
          <w:rFonts w:hint="eastAsia" w:ascii="楷体" w:hAnsi="楷体" w:eastAsia="楷体" w:cs="楷体"/>
          <w:b w:val="0"/>
          <w:bCs/>
          <w:color w:val="000000"/>
          <w:kern w:val="0"/>
          <w:sz w:val="32"/>
          <w:szCs w:val="32"/>
        </w:rPr>
        <w:t xml:space="preserve"> 防御规划与设施</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第三章  </w:t>
      </w:r>
      <w:r>
        <w:rPr>
          <w:rFonts w:hint="eastAsia" w:ascii="楷体" w:hAnsi="楷体" w:eastAsia="楷体" w:cs="楷体"/>
          <w:b w:val="0"/>
          <w:bCs/>
          <w:color w:val="000000"/>
          <w:kern w:val="0"/>
          <w:sz w:val="32"/>
          <w:szCs w:val="32"/>
        </w:rPr>
        <w:t>预防与减灾措施</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第四章  </w:t>
      </w:r>
      <w:r>
        <w:rPr>
          <w:rFonts w:hint="eastAsia" w:ascii="楷体" w:hAnsi="楷体" w:eastAsia="楷体" w:cs="楷体"/>
          <w:b w:val="0"/>
          <w:bCs/>
          <w:color w:val="000000"/>
          <w:kern w:val="0"/>
          <w:sz w:val="32"/>
          <w:szCs w:val="32"/>
        </w:rPr>
        <w:t>监测与预报</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第五章  </w:t>
      </w:r>
      <w:r>
        <w:rPr>
          <w:rFonts w:hint="eastAsia" w:ascii="楷体" w:hAnsi="楷体" w:eastAsia="楷体" w:cs="楷体"/>
          <w:b w:val="0"/>
          <w:bCs/>
          <w:color w:val="000000"/>
          <w:kern w:val="0"/>
          <w:sz w:val="32"/>
          <w:szCs w:val="32"/>
        </w:rPr>
        <w:t>应急与监督</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第六章  法律责任</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第七章  附则</w:t>
      </w:r>
    </w:p>
    <w:p>
      <w:pPr>
        <w:widowControl/>
        <w:spacing w:line="590" w:lineRule="exact"/>
        <w:ind w:firstLine="480"/>
        <w:jc w:val="center"/>
        <w:rPr>
          <w:rFonts w:hint="eastAsia" w:ascii="宋体" w:hAnsi="宋体" w:cs="宋体"/>
          <w:b/>
          <w:color w:val="000000"/>
          <w:kern w:val="0"/>
          <w:sz w:val="28"/>
          <w:szCs w:val="28"/>
        </w:rPr>
      </w:pPr>
    </w:p>
    <w:p>
      <w:pPr>
        <w:keepNext w:val="0"/>
        <w:keepLines w:val="0"/>
        <w:pageBreakBefore w:val="0"/>
        <w:widowControl w:val="0"/>
        <w:numPr>
          <w:ilvl w:val="0"/>
          <w:numId w:val="1"/>
        </w:numPr>
        <w:kinsoku/>
        <w:wordWrap/>
        <w:overflowPunct/>
        <w:topLinePunct w:val="0"/>
        <w:autoSpaceDE/>
        <w:autoSpaceDN/>
        <w:bidi w:val="0"/>
        <w:snapToGrid w:val="0"/>
        <w:spacing w:line="580" w:lineRule="exact"/>
        <w:ind w:left="0" w:leftChars="0" w:right="0" w:rightChars="0"/>
        <w:jc w:val="center"/>
        <w:textAlignment w:val="auto"/>
        <w:outlineLvl w:val="9"/>
        <w:rPr>
          <w:rFonts w:hint="eastAsia" w:ascii="黑体" w:hAnsi="宋体" w:eastAsia="黑体" w:cs="宋体"/>
          <w:b w:val="0"/>
          <w:bCs/>
          <w:color w:val="000000"/>
          <w:kern w:val="0"/>
          <w:sz w:val="32"/>
          <w:szCs w:val="32"/>
        </w:rPr>
      </w:pPr>
      <w:r>
        <w:rPr>
          <w:rFonts w:hint="eastAsia" w:ascii="黑体" w:hAnsi="宋体" w:eastAsia="黑体" w:cs="宋体"/>
          <w:b w:val="0"/>
          <w:bCs/>
          <w:color w:val="000000"/>
          <w:kern w:val="0"/>
          <w:sz w:val="32"/>
          <w:szCs w:val="32"/>
        </w:rPr>
        <w:t xml:space="preserve"> 总则</w:t>
      </w:r>
    </w:p>
    <w:p>
      <w:pPr>
        <w:keepNext w:val="0"/>
        <w:keepLines w:val="0"/>
        <w:pageBreakBefore w:val="0"/>
        <w:widowControl w:val="0"/>
        <w:numPr>
          <w:ilvl w:val="0"/>
          <w:numId w:val="0"/>
        </w:numPr>
        <w:kinsoku/>
        <w:wordWrap/>
        <w:overflowPunct/>
        <w:topLinePunct w:val="0"/>
        <w:autoSpaceDE/>
        <w:autoSpaceDN/>
        <w:bidi w:val="0"/>
        <w:snapToGrid w:val="0"/>
        <w:spacing w:line="580" w:lineRule="exact"/>
        <w:ind w:left="0" w:leftChars="0" w:right="0" w:rightChars="0"/>
        <w:jc w:val="both"/>
        <w:textAlignment w:val="auto"/>
        <w:outlineLvl w:val="9"/>
        <w:rPr>
          <w:rFonts w:hint="eastAsia" w:ascii="仿宋_GB2312" w:hAnsi="宋体" w:eastAsia="黑体" w:cs="宋体"/>
          <w:b/>
          <w:color w:val="000000"/>
          <w:kern w:val="0"/>
          <w:sz w:val="32"/>
          <w:szCs w:val="32"/>
        </w:rPr>
      </w:pPr>
      <w:r>
        <w:rPr>
          <w:rFonts w:hint="eastAsia" w:ascii="仿宋_GB2312" w:hAnsi="宋体" w:eastAsia="黑体" w:cs="宋体"/>
          <w:b w:val="0"/>
          <w:bCs/>
          <w:color w:val="000000"/>
          <w:kern w:val="0"/>
          <w:sz w:val="32"/>
          <w:szCs w:val="32"/>
          <w:lang w:val="en-US" w:eastAsia="zh-CN"/>
        </w:rPr>
        <w:t xml:space="preserve">    </w:t>
      </w:r>
      <w:r>
        <w:rPr>
          <w:rFonts w:hint="eastAsia" w:ascii="仿宋_GB2312" w:hAnsi="宋体" w:eastAsia="黑体" w:cs="宋体"/>
          <w:b w:val="0"/>
          <w:bCs/>
          <w:color w:val="000000"/>
          <w:kern w:val="0"/>
          <w:sz w:val="32"/>
          <w:szCs w:val="32"/>
        </w:rPr>
        <w:t>第一条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为了防御和减轻气象灾害，保障人民生命财产安全，促进经济社会发展，根据《中华人民共和国气象法》和有关法律、行政法规的规定，结合自治区实际，制定本条例。</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黑体" w:cs="宋体"/>
          <w:b w:val="0"/>
          <w:bCs/>
          <w:color w:val="000000"/>
          <w:kern w:val="0"/>
          <w:sz w:val="32"/>
          <w:szCs w:val="32"/>
        </w:rPr>
        <w:t>第二条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在自治区行政区域内从事气象灾害防御活动的，应当遵守本条例。</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olor w:val="000000"/>
          <w:kern w:val="0"/>
          <w:sz w:val="32"/>
          <w:szCs w:val="32"/>
        </w:rPr>
      </w:pPr>
      <w:r>
        <w:rPr>
          <w:rFonts w:hint="eastAsia" w:ascii="仿宋_GB2312" w:hAnsi="宋体" w:eastAsia="黑体" w:cs="宋体"/>
          <w:b w:val="0"/>
          <w:bCs/>
          <w:color w:val="000000"/>
          <w:kern w:val="0"/>
          <w:sz w:val="32"/>
          <w:szCs w:val="32"/>
        </w:rPr>
        <w:t>第三条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olor w:val="000000"/>
          <w:kern w:val="0"/>
          <w:sz w:val="32"/>
          <w:szCs w:val="32"/>
        </w:rPr>
        <w:t>本条例所称气象灾害，是指天气、气候灾害及其次生、衍生灾害。</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天气、气候灾害，包括因干旱、暴雨（雪）、大风、沙尘暴、寒潮、冰雹、霜冻、低温冷害、冰冻灾害、连阴雨、雷电、高温热浪、干热风、大雾、龙卷风、霾等直接造成的灾害。</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气象次生、衍生灾害，包括因气象因素引发的山体滑坡、泥石流、植物病虫害、森林草原火灾、有毒气体、环境污染等灾害。</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气象灾害防御，是指气象灾害监测、预报、预警、预防、应急、救助和监督管理等活动。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黑体" w:cs="宋体"/>
          <w:b w:val="0"/>
          <w:bCs/>
          <w:color w:val="000000"/>
          <w:kern w:val="0"/>
          <w:sz w:val="32"/>
          <w:szCs w:val="32"/>
        </w:rPr>
        <w:t>第四条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气象灾害防御工作应当坚持以人为本、</w:t>
      </w:r>
      <w:r>
        <w:rPr>
          <w:rFonts w:hint="eastAsia" w:ascii="仿宋_GB2312" w:hAnsi="宋体" w:eastAsia="仿宋_GB2312" w:cs="Arial"/>
          <w:color w:val="000000"/>
          <w:kern w:val="0"/>
          <w:sz w:val="32"/>
          <w:szCs w:val="32"/>
        </w:rPr>
        <w:t>统筹规划</w:t>
      </w:r>
      <w:r>
        <w:rPr>
          <w:rFonts w:hint="eastAsia" w:ascii="仿宋_GB2312" w:hAnsi="宋体" w:eastAsia="仿宋_GB2312" w:cs="宋体"/>
          <w:color w:val="000000"/>
          <w:kern w:val="0"/>
          <w:sz w:val="32"/>
          <w:szCs w:val="32"/>
        </w:rPr>
        <w:t>、预防为主、防治结合、科学防御的原则</w:t>
      </w:r>
      <w:r>
        <w:rPr>
          <w:rFonts w:hint="eastAsia" w:ascii="仿宋_GB2312" w:hAnsi="宋体" w:eastAsia="仿宋_GB2312" w:cs="Arial"/>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第五条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县级以上人民政府应当加强对气象灾害防御工作的领导，建立</w:t>
      </w:r>
      <w:r>
        <w:rPr>
          <w:rFonts w:hint="eastAsia" w:ascii="仿宋_GB2312" w:hAnsi="宋体" w:eastAsia="仿宋_GB2312" w:cs="Arial"/>
          <w:color w:val="000000"/>
          <w:kern w:val="0"/>
          <w:sz w:val="32"/>
          <w:szCs w:val="32"/>
        </w:rPr>
        <w:t>健全气象灾害防御工作的协调机制</w:t>
      </w:r>
      <w:r>
        <w:rPr>
          <w:rFonts w:hint="eastAsia" w:ascii="仿宋_GB2312" w:hAnsi="宋体" w:eastAsia="仿宋_GB2312" w:cs="宋体"/>
          <w:color w:val="000000"/>
          <w:kern w:val="0"/>
          <w:sz w:val="32"/>
          <w:szCs w:val="32"/>
        </w:rPr>
        <w:t>，将气象灾害防御工作纳入本级国民经济和社会发展规划，所需经费列入本级财政预算，并根据经济社会发展和气象灾害防御工作的需要相应加大投入。</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第六条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spacing w:val="-2"/>
          <w:kern w:val="0"/>
          <w:sz w:val="32"/>
          <w:szCs w:val="32"/>
        </w:rPr>
        <w:t>县以上气象主管机构负责本行政区域内气象灾害的监测、预报、预警</w:t>
      </w:r>
      <w:r>
        <w:rPr>
          <w:rFonts w:hint="eastAsia" w:ascii="仿宋_GB2312" w:hAnsi="宋体" w:eastAsia="仿宋_GB2312" w:cs="宋体"/>
          <w:color w:val="000000"/>
          <w:kern w:val="0"/>
          <w:sz w:val="32"/>
          <w:szCs w:val="32"/>
        </w:rPr>
        <w:t>工作，依法组织管理气候可行性论证、评估等工作；协助有关部门做好气象次生、衍生灾害的监测、预报、预警和减灾工作。</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县级以上人民政府发展和改革、自然资源、公安、民政、水利、农业农村、林业和草原、住房和城乡建设、交通运输、教育等有关部门，应当按照职责分工，依法共同做好气象灾害防御工作。</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气象灾害监测站点应当接受气象主管机构对其气象工作的指导、监督和行业管理。</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黑体" w:cs="宋体"/>
          <w:b w:val="0"/>
          <w:bCs/>
          <w:color w:val="000000"/>
          <w:kern w:val="0"/>
          <w:sz w:val="32"/>
          <w:szCs w:val="32"/>
        </w:rPr>
        <w:t>第七条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县级以上人民政府应当支持和鼓励气象灾害防御的科学技术研究，宣传普及气象灾害防御知识，推广先进的气象灾害防御技术，并纳入本地区的科技发展规划。</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第八条</w:t>
      </w:r>
      <w:r>
        <w:rPr>
          <w:rFonts w:hint="eastAsia" w:ascii="仿宋_GB2312" w:hAnsi="宋体" w:eastAsia="黑体" w:cs="宋体"/>
          <w:b w:val="0"/>
          <w:bCs/>
          <w:color w:val="000000"/>
          <w:kern w:val="0"/>
          <w:sz w:val="32"/>
          <w:szCs w:val="32"/>
          <w:lang w:val="en-US" w:eastAsia="zh-CN"/>
        </w:rPr>
        <w:t xml:space="preserve"> </w:t>
      </w:r>
      <w:r>
        <w:rPr>
          <w:rFonts w:hint="eastAsia" w:ascii="仿宋_GB2312" w:hAnsi="宋体" w:eastAsia="仿宋_GB2312" w:cs="宋体"/>
          <w:color w:val="000000"/>
          <w:kern w:val="0"/>
          <w:sz w:val="32"/>
          <w:szCs w:val="32"/>
        </w:rPr>
        <w:t>公民、法人和其他组织应当参与气象灾害防御工作，增强防御气象灾害意识，提高避险、避灾减灾、自救互救等应救能力。</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鼓励公民、法人和其他组织通过商业保险等多种形式防御气象灾害风险。</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对在气象灾害防御工作中做出突出贡献的单位和个人，各级人民政府或者气象主管机构应当给予表彰和奖励。</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0" w:firstLineChars="0"/>
        <w:jc w:val="center"/>
        <w:textAlignment w:val="auto"/>
        <w:outlineLvl w:val="9"/>
        <w:rPr>
          <w:rFonts w:hint="eastAsia" w:ascii="仿宋_GB2312" w:hAnsi="宋体" w:eastAsia="黑体" w:cs="宋体"/>
          <w:b w:val="0"/>
          <w:bCs/>
          <w:color w:val="000000"/>
          <w:kern w:val="0"/>
          <w:sz w:val="32"/>
          <w:szCs w:val="32"/>
        </w:rPr>
      </w:pPr>
      <w:r>
        <w:rPr>
          <w:rFonts w:hint="eastAsia" w:ascii="仿宋_GB2312" w:hAnsi="宋体" w:eastAsia="黑体" w:cs="宋体"/>
          <w:b w:val="0"/>
          <w:bCs/>
          <w:color w:val="000000"/>
          <w:kern w:val="0"/>
          <w:sz w:val="32"/>
          <w:szCs w:val="32"/>
        </w:rPr>
        <w:t>第二章  防御规划与设施</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第九条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县级以上人民政府应当组织气象主管机构和其他有关部门，根据灾害分布情况、易发区域、主要致灾因素和上一级气象灾害防御规划，编制本行政区域的气象灾害防御规划；定期开展气象灾害普查，制定和完善防灾减灾措施，做好防范气象灾害的应急基础工程建设规划。</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县以上气象主管机构应当会同有关部门拟订气象灾害监测、预报、预警等设施建设方案，报本级人民政府批准后实施。</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第十条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气象灾害防御规划应当包括下列内容：</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（一）气象灾害防御的原则和目标任务；</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（二）气象灾害现状、影响评估和发展趋势；</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（三）气象灾害易发区域、易发时段和重点防御区域；</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（四）气象灾害的分类防御要求；</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（五）气象灾害防御工程设施的建设和管理；</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（六）气象灾害防御非工程措施；</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（七）应当纳入防御规划的其他内容。</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rPr>
      </w:pPr>
      <w:r>
        <w:rPr>
          <w:rFonts w:hint="eastAsia" w:ascii="仿宋_GB2312" w:hAnsi="宋体" w:eastAsia="黑体" w:cs="宋体"/>
          <w:b w:val="0"/>
          <w:bCs/>
          <w:color w:val="000000"/>
          <w:kern w:val="0"/>
          <w:sz w:val="32"/>
          <w:szCs w:val="32"/>
        </w:rPr>
        <w:t>第十一条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bCs/>
          <w:color w:val="000000"/>
          <w:kern w:val="0"/>
          <w:sz w:val="32"/>
          <w:szCs w:val="32"/>
        </w:rPr>
        <w:t>气象灾害防御规划应</w:t>
      </w:r>
      <w:r>
        <w:rPr>
          <w:rFonts w:hint="eastAsia" w:ascii="仿宋_GB2312" w:hAnsi="宋体" w:eastAsia="仿宋_GB2312" w:cs="宋体"/>
          <w:color w:val="000000"/>
          <w:kern w:val="0"/>
          <w:sz w:val="32"/>
          <w:szCs w:val="32"/>
        </w:rPr>
        <w:t>当作为城市</w:t>
      </w:r>
      <w:r>
        <w:rPr>
          <w:rFonts w:hint="eastAsia" w:ascii="仿宋_GB2312" w:hAnsi="宋体" w:eastAsia="仿宋_GB2312" w:cs="宋体"/>
          <w:bCs/>
          <w:color w:val="000000"/>
          <w:kern w:val="0"/>
          <w:sz w:val="32"/>
          <w:szCs w:val="32"/>
        </w:rPr>
        <w:t>总体规划、镇总体规划的强制性内容。</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bCs/>
          <w:color w:val="000000"/>
          <w:kern w:val="0"/>
          <w:sz w:val="32"/>
          <w:szCs w:val="32"/>
        </w:rPr>
        <w:t>编制</w:t>
      </w:r>
      <w:r>
        <w:rPr>
          <w:rFonts w:hint="eastAsia" w:ascii="仿宋_GB2312" w:hAnsi="宋体" w:eastAsia="仿宋_GB2312" w:cs="宋体"/>
          <w:color w:val="000000"/>
          <w:kern w:val="0"/>
          <w:sz w:val="32"/>
          <w:szCs w:val="32"/>
        </w:rPr>
        <w:t>区域、流域建设开发利用规划，以及工业、农牧业、林业、水利、交通、航空、旅游、通信、能源、环境保护和自然资源开发利用等专项规划，应当符合气象灾害防御规划的相关要求。</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第十二条</w:t>
      </w:r>
      <w:r>
        <w:rPr>
          <w:rFonts w:hint="eastAsia" w:ascii="仿宋_GB2312" w:hAnsi="宋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rPr>
        <w:t>县级以上人民政府应</w:t>
      </w:r>
      <w:r>
        <w:rPr>
          <w:rFonts w:hint="eastAsia" w:ascii="仿宋_GB2312" w:hAnsi="宋体" w:eastAsia="仿宋_GB2312" w:cs="宋体"/>
          <w:color w:val="000000"/>
          <w:kern w:val="0"/>
          <w:sz w:val="32"/>
          <w:szCs w:val="32"/>
        </w:rPr>
        <w:t>当加强气象灾害综合监测、预报、预警和应急处置基础设施建设。</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气象灾害易发区、林区、矿区、旅游区等重点区域和电力、通信、交通、能源、水利等重要设施以及国家和自治区重点工程项目所在地，建立完善气象灾害监测站点和气象探测设施，并根据气象灾害防御工作需要，建设应急移动气象灾害监测设施。</w:t>
      </w:r>
    </w:p>
    <w:p>
      <w:pPr>
        <w:keepNext w:val="0"/>
        <w:keepLines w:val="0"/>
        <w:pageBreakBefore w:val="0"/>
        <w:widowControl w:val="0"/>
        <w:tabs>
          <w:tab w:val="left" w:pos="1800"/>
        </w:tabs>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Arial"/>
          <w:color w:val="000000"/>
          <w:kern w:val="0"/>
          <w:sz w:val="32"/>
          <w:szCs w:val="32"/>
        </w:rPr>
      </w:pPr>
      <w:r>
        <w:rPr>
          <w:rFonts w:hint="eastAsia" w:ascii="仿宋_GB2312" w:hAnsi="宋体" w:eastAsia="仿宋_GB2312" w:cs="宋体"/>
          <w:color w:val="000000"/>
          <w:kern w:val="0"/>
          <w:sz w:val="32"/>
          <w:szCs w:val="32"/>
        </w:rPr>
        <w:t>在城镇、乡村的人员密集场所设置气象灾害预警信息接收、播发设施。</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 w:hAnsi="仿宋" w:eastAsia="仿宋" w:cs="仿宋"/>
          <w:b w:val="0"/>
          <w:bCs/>
          <w:color w:val="000000"/>
          <w:kern w:val="0"/>
          <w:sz w:val="32"/>
          <w:szCs w:val="32"/>
        </w:rPr>
      </w:pPr>
      <w:r>
        <w:rPr>
          <w:rFonts w:hint="eastAsia" w:ascii="仿宋" w:hAnsi="仿宋" w:eastAsia="仿宋" w:cs="仿宋"/>
          <w:color w:val="000000"/>
          <w:kern w:val="0"/>
          <w:sz w:val="32"/>
          <w:szCs w:val="32"/>
        </w:rPr>
        <w:t>机场、车站、高速公路、旅游景点等场所应当具备气象灾害预</w:t>
      </w:r>
      <w:r>
        <w:rPr>
          <w:rFonts w:hint="eastAsia" w:ascii="仿宋" w:hAnsi="仿宋" w:eastAsia="仿宋" w:cs="仿宋"/>
          <w:b w:val="0"/>
          <w:bCs/>
          <w:color w:val="000000"/>
          <w:kern w:val="0"/>
          <w:sz w:val="32"/>
          <w:szCs w:val="32"/>
        </w:rPr>
        <w:t>警信息接收、播发条件。</w:t>
      </w:r>
    </w:p>
    <w:p>
      <w:pPr>
        <w:keepNext w:val="0"/>
        <w:keepLines w:val="0"/>
        <w:pageBreakBefore w:val="0"/>
        <w:widowControl w:val="0"/>
        <w:numPr>
          <w:ilvl w:val="0"/>
          <w:numId w:val="0"/>
        </w:numPr>
        <w:kinsoku/>
        <w:wordWrap/>
        <w:overflowPunct/>
        <w:topLinePunct w:val="0"/>
        <w:autoSpaceDE/>
        <w:autoSpaceDN/>
        <w:bidi w:val="0"/>
        <w:snapToGrid w:val="0"/>
        <w:spacing w:line="580" w:lineRule="exact"/>
        <w:ind w:right="0" w:rightChars="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黑体" w:hAnsi="黑体" w:eastAsia="黑体" w:cs="黑体"/>
          <w:color w:val="000000"/>
          <w:kern w:val="0"/>
          <w:sz w:val="32"/>
          <w:szCs w:val="32"/>
          <w:lang w:eastAsia="zh-CN"/>
        </w:rPr>
        <w:t>第十三条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县级以上人民政府应当加强人工影响天气工作的领导和协调，建立健全人工影响天气应急作业机制，在大中型水库、城市供水和工农业用水紧缺地区的水源区域，森林火灾易发、频发区，干旱、冰雹灾害高发区域，建立人工影响天气作业点和配套基础设施。</w:t>
      </w:r>
    </w:p>
    <w:p>
      <w:pPr>
        <w:keepNext w:val="0"/>
        <w:keepLines w:val="0"/>
        <w:pageBreakBefore w:val="0"/>
        <w:widowControl w:val="0"/>
        <w:numPr>
          <w:ilvl w:val="0"/>
          <w:numId w:val="0"/>
        </w:numPr>
        <w:kinsoku/>
        <w:wordWrap/>
        <w:overflowPunct/>
        <w:topLinePunct w:val="0"/>
        <w:autoSpaceDE/>
        <w:autoSpaceDN/>
        <w:bidi w:val="0"/>
        <w:snapToGrid w:val="0"/>
        <w:spacing w:line="580" w:lineRule="exact"/>
        <w:ind w:left="0" w:leftChars="0" w:right="0" w:rightChars="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lang w:val="en-US" w:eastAsia="zh-CN"/>
        </w:rPr>
        <w:t xml:space="preserve">    </w:t>
      </w:r>
      <w:r>
        <w:rPr>
          <w:rFonts w:hint="eastAsia" w:ascii="仿宋_GB2312" w:hAnsi="宋体" w:eastAsia="黑体" w:cs="宋体"/>
          <w:b w:val="0"/>
          <w:bCs/>
          <w:color w:val="000000"/>
          <w:kern w:val="0"/>
          <w:sz w:val="32"/>
          <w:szCs w:val="32"/>
        </w:rPr>
        <w:t>第十四条</w:t>
      </w:r>
      <w:r>
        <w:rPr>
          <w:rFonts w:hint="eastAsia" w:ascii="仿宋_GB2312" w:hAnsi="宋体" w:eastAsia="黑体" w:cs="宋体"/>
          <w:b w:val="0"/>
          <w:bCs/>
          <w:color w:val="000000"/>
          <w:kern w:val="0"/>
          <w:sz w:val="32"/>
          <w:szCs w:val="32"/>
          <w:lang w:val="en-US" w:eastAsia="zh-CN"/>
        </w:rPr>
        <w:t xml:space="preserve"> </w:t>
      </w:r>
      <w:r>
        <w:rPr>
          <w:rFonts w:hint="eastAsia" w:ascii="仿宋_GB2312" w:hAnsi="宋体" w:eastAsia="仿宋_GB2312" w:cs="宋体"/>
          <w:color w:val="000000"/>
          <w:kern w:val="0"/>
          <w:sz w:val="32"/>
          <w:szCs w:val="32"/>
        </w:rPr>
        <w:t>气象灾害防御设施受法律保护，任何组织和个人不得侵占、损毁或者擅自移动；未经依法批准，不得迁建气象台站和其他气象灾害防御设施。</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气象灾害防御设施因不可抗力或者其他因素遭受破坏时，县级以上人民政府应当及时组织修复，确保气象灾害防御设施正常运行、使用。</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第十五条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县级以上人民政府应当组织气象主管机构和其他有关部门，按照法定标准制定气象探测环境和设施保护专业规划，划定气象探测环境保护范围，并将专业规划纳入城市</w:t>
      </w:r>
      <w:r>
        <w:rPr>
          <w:rFonts w:hint="eastAsia" w:ascii="仿宋_GB2312" w:hAnsi="宋体" w:eastAsia="仿宋_GB2312" w:cs="宋体"/>
          <w:bCs/>
          <w:color w:val="000000"/>
          <w:kern w:val="0"/>
          <w:sz w:val="32"/>
          <w:szCs w:val="32"/>
        </w:rPr>
        <w:t>总体规划、镇总体规划</w:t>
      </w:r>
      <w:r>
        <w:rPr>
          <w:rFonts w:hint="eastAsia" w:ascii="仿宋_GB2312" w:hAnsi="宋体"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禁止在气象探测环境保护范围内从事危害气象探测环境的活动。</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bdr w:val="single" w:color="auto" w:sz="4" w:space="0"/>
        </w:rPr>
      </w:pPr>
      <w:r>
        <w:rPr>
          <w:rFonts w:hint="eastAsia" w:ascii="仿宋_GB2312" w:hAnsi="宋体" w:eastAsia="黑体" w:cs="宋体"/>
          <w:b w:val="0"/>
          <w:bCs/>
          <w:color w:val="000000"/>
          <w:kern w:val="0"/>
          <w:sz w:val="32"/>
          <w:szCs w:val="32"/>
        </w:rPr>
        <w:t>第十六条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新建、扩建、改建工程项目涉及危害气象探测环境许可事项的，未经气象主管机构同意，发展和改革、住房和城乡建设、</w:t>
      </w:r>
      <w:r>
        <w:rPr>
          <w:rFonts w:hint="eastAsia" w:ascii="仿宋_GB2312" w:hAnsi="宋体" w:eastAsia="仿宋_GB2312" w:cs="宋体"/>
          <w:color w:val="000000"/>
          <w:kern w:val="0"/>
          <w:sz w:val="32"/>
          <w:szCs w:val="32"/>
          <w:lang w:eastAsia="zh-CN"/>
        </w:rPr>
        <w:t>自然</w:t>
      </w:r>
      <w:r>
        <w:rPr>
          <w:rFonts w:hint="eastAsia" w:ascii="仿宋_GB2312" w:hAnsi="宋体" w:eastAsia="仿宋_GB2312" w:cs="宋体"/>
          <w:color w:val="000000"/>
          <w:kern w:val="0"/>
          <w:sz w:val="32"/>
          <w:szCs w:val="32"/>
        </w:rPr>
        <w:t>资源等行政主管部门不得审批或者核准</w:t>
      </w:r>
      <w:r>
        <w:rPr>
          <w:rFonts w:hint="eastAsia" w:ascii="仿宋_GB2312" w:hAnsi="宋体" w:eastAsia="仿宋_GB2312" w:cs="宋体"/>
          <w:bCs/>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jc w:val="center"/>
        <w:textAlignment w:val="auto"/>
        <w:outlineLvl w:val="9"/>
        <w:rPr>
          <w:rFonts w:hint="eastAsia" w:ascii="仿宋_GB2312" w:hAnsi="宋体" w:eastAsia="黑体" w:cs="宋体"/>
          <w:b w:val="0"/>
          <w:bCs/>
          <w:color w:val="000000"/>
          <w:kern w:val="0"/>
          <w:sz w:val="32"/>
          <w:szCs w:val="32"/>
        </w:rPr>
      </w:pPr>
      <w:r>
        <w:rPr>
          <w:rFonts w:hint="eastAsia" w:ascii="仿宋_GB2312" w:hAnsi="宋体" w:eastAsia="黑体" w:cs="宋体"/>
          <w:b w:val="0"/>
          <w:bCs/>
          <w:color w:val="000000"/>
          <w:kern w:val="0"/>
          <w:sz w:val="32"/>
          <w:szCs w:val="32"/>
        </w:rPr>
        <w:t>第三章  预防与减灾措施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第十七条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与气候条件密切相关的大型工程建设项目、重大区域性经济开发项目、城市总体规划和大型太阳能、风能等气候资源开发利用建设项目，应当进行气候可行性论证。自治区气象主管机构负责组织管理气候可行性论证活动。进行气候可行性论证，应当委托国家气象主管机构确认的具备相应气候可行性论证</w:t>
      </w:r>
      <w:r>
        <w:rPr>
          <w:rFonts w:hint="eastAsia" w:ascii="仿宋_GB2312" w:hAnsi="宋体" w:eastAsia="仿宋_GB2312" w:cs="宋体"/>
          <w:color w:val="000000"/>
          <w:kern w:val="0"/>
          <w:sz w:val="32"/>
          <w:szCs w:val="32"/>
          <w:lang w:eastAsia="zh-CN"/>
        </w:rPr>
        <w:t>能力</w:t>
      </w:r>
      <w:r>
        <w:rPr>
          <w:rFonts w:hint="eastAsia" w:ascii="仿宋_GB2312" w:hAnsi="宋体" w:eastAsia="仿宋_GB2312" w:cs="宋体"/>
          <w:color w:val="000000"/>
          <w:kern w:val="0"/>
          <w:sz w:val="32"/>
          <w:szCs w:val="32"/>
        </w:rPr>
        <w:t>的机构论证。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负责规划或者建设项目审批、核准的部门应当将气候可行性论证结果和专家评审通过的气候可行性论证报告纳入规划或者建设项目可行性研究的审查内容，统筹考虑气候可行性论证报告结论。对可行性研究报告或者申请报告中未包括气候可行性论证内容的建设项目，不得审批或者核准。</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黑体" w:cs="宋体"/>
          <w:b w:val="0"/>
          <w:bCs/>
          <w:color w:val="000000"/>
          <w:kern w:val="0"/>
          <w:sz w:val="32"/>
          <w:szCs w:val="32"/>
        </w:rPr>
        <w:t>第十八条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各级人民政府及其有关部门应当根据干旱灾害发生情况，因地制宜修建中小型蓄水、引水、提水和雨水集蓄利用等抗旱工程，储备必要的抗旱物资，做好保障干旱期城乡居民生活供水的水源贮备工作。</w:t>
      </w:r>
    </w:p>
    <w:p>
      <w:pPr>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黑体" w:cs="宋体"/>
          <w:b w:val="0"/>
          <w:bCs/>
          <w:color w:val="000000"/>
          <w:kern w:val="0"/>
          <w:sz w:val="32"/>
          <w:szCs w:val="32"/>
        </w:rPr>
        <w:t>第十九条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各级人民政府及其有关部门应当根据暴雨发生情况，加强河道、水库、堤防、闸坝、泵站等防洪设施建设。定期检查各种防洪设施的运行情况，及时疏通河道和排水管网，做好重要险段的巡查工作。</w:t>
      </w:r>
    </w:p>
    <w:p>
      <w:pPr>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黑体" w:cs="宋体"/>
          <w:b w:val="0"/>
          <w:bCs/>
          <w:color w:val="000000"/>
          <w:kern w:val="0"/>
          <w:sz w:val="32"/>
          <w:szCs w:val="32"/>
        </w:rPr>
        <w:t>第二十条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各级人民政府及其有关部门应当根据暴雪冰冻、大风、沙尘暴发生情况，加强对水、电、气、暖、通信等线路的规划、设计、铺设和维护，保证安全畅通，提高防御暴雪冰冻、大风灾害的能力。</w:t>
      </w:r>
    </w:p>
    <w:p>
      <w:pPr>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第二十一条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发现干旱、沙尘暴和暴雨雪等气候征兆的，气象主管机构所属气象台站应当加强气象灾害监测，对灾害可能发生的区域及强度等级及时做出预报。气象主管机构应当将气象灾害监测、预报结论和预防措施及时报告当地人民政府和有关部门。 </w:t>
      </w:r>
    </w:p>
    <w:p>
      <w:pPr>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气象主管机构和有关部门不得隐瞒、谎报或者授意他人隐瞒、谎报气象灾害信息和灾情。</w:t>
      </w:r>
    </w:p>
    <w:p>
      <w:pPr>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firstLine="640" w:firstLineChars="200"/>
        <w:textAlignment w:val="auto"/>
        <w:outlineLvl w:val="9"/>
        <w:rPr>
          <w:rFonts w:hint="eastAsia" w:ascii="仿宋" w:hAnsi="仿宋" w:eastAsia="仿宋" w:cs="仿宋"/>
          <w:b w:val="0"/>
          <w:bCs w:val="0"/>
          <w:color w:val="000000"/>
          <w:kern w:val="0"/>
          <w:sz w:val="32"/>
          <w:szCs w:val="32"/>
        </w:rPr>
      </w:pPr>
      <w:r>
        <w:rPr>
          <w:rFonts w:hint="eastAsia" w:ascii="仿宋_GB2312" w:hAnsi="宋体" w:eastAsia="黑体" w:cs="宋体"/>
          <w:b w:val="0"/>
          <w:bCs/>
          <w:color w:val="000000"/>
          <w:kern w:val="0"/>
          <w:sz w:val="32"/>
          <w:szCs w:val="32"/>
        </w:rPr>
        <w:t>第二十二条</w:t>
      </w:r>
      <w:r>
        <w:rPr>
          <w:rFonts w:hint="eastAsia" w:ascii="仿宋_GB2312" w:hAnsi="宋体" w:eastAsia="黑体" w:cs="宋体"/>
          <w:b/>
          <w:color w:val="000000"/>
          <w:kern w:val="0"/>
          <w:sz w:val="32"/>
          <w:szCs w:val="32"/>
          <w:lang w:val="en-US" w:eastAsia="zh-CN"/>
        </w:rPr>
        <w:t xml:space="preserve"> </w:t>
      </w:r>
      <w:r>
        <w:rPr>
          <w:rFonts w:hint="eastAsia" w:ascii="仿宋" w:hAnsi="仿宋" w:eastAsia="仿宋" w:cs="仿宋"/>
          <w:b w:val="0"/>
          <w:bCs w:val="0"/>
          <w:color w:val="000000"/>
          <w:kern w:val="0"/>
          <w:sz w:val="32"/>
          <w:szCs w:val="32"/>
        </w:rPr>
        <w:t>县级以上人民政府应当将防雷减灾工作纳入公共安全监督管理的范围。县级以上气象主管机构应当加强对雷电灾害防御工作的组织管理，做好雷电监测、预报预警、雷电灾害调查鉴定和防雷科普宣传，提高雷电灾害监测预报水平。</w:t>
      </w:r>
    </w:p>
    <w:p>
      <w:pPr>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建设工程项目属于国家《建筑物防雷设计规范》规定的一、二类防雷建筑（构筑物）的，建设单位应当进行雷击风险评估。</w:t>
      </w:r>
    </w:p>
    <w:p>
      <w:pPr>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雷电安全防护装置应当与建设主体工程同时设计、同时施工，同时投入使用，住房和城乡建设行政主管部门应当将其纳入建设工程管理审批程序。</w:t>
      </w:r>
    </w:p>
    <w:p>
      <w:pPr>
        <w:keepNext w:val="0"/>
        <w:keepLines w:val="0"/>
        <w:pageBreakBefore w:val="0"/>
        <w:widowControl w:val="0"/>
        <w:kinsoku/>
        <w:wordWrap/>
        <w:overflowPunct/>
        <w:topLinePunct w:val="0"/>
        <w:autoSpaceDE/>
        <w:autoSpaceDN/>
        <w:bidi w:val="0"/>
        <w:adjustRightInd/>
        <w:snapToGrid w:val="0"/>
        <w:spacing w:line="580" w:lineRule="atLeast"/>
        <w:ind w:left="0" w:leftChars="0" w:right="0" w:rightChars="0"/>
        <w:jc w:val="center"/>
        <w:textAlignment w:val="auto"/>
        <w:outlineLvl w:val="9"/>
        <w:rPr>
          <w:rFonts w:hint="eastAsia" w:ascii="仿宋_GB2312" w:hAnsi="宋体" w:eastAsia="黑体" w:cs="宋体"/>
          <w:b w:val="0"/>
          <w:bCs/>
          <w:color w:val="000000"/>
          <w:kern w:val="0"/>
          <w:sz w:val="32"/>
          <w:szCs w:val="32"/>
        </w:rPr>
      </w:pPr>
      <w:r>
        <w:rPr>
          <w:rFonts w:hint="eastAsia" w:ascii="仿宋_GB2312" w:hAnsi="宋体" w:eastAsia="黑体" w:cs="宋体"/>
          <w:b w:val="0"/>
          <w:bCs/>
          <w:color w:val="000000"/>
          <w:kern w:val="0"/>
          <w:sz w:val="32"/>
          <w:szCs w:val="32"/>
        </w:rPr>
        <w:t>第四章  监测与预报</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bdr w:val="single" w:color="auto" w:sz="4" w:space="0"/>
        </w:rPr>
      </w:pPr>
      <w:r>
        <w:rPr>
          <w:rFonts w:hint="eastAsia" w:ascii="仿宋_GB2312" w:hAnsi="宋体" w:eastAsia="黑体" w:cs="宋体"/>
          <w:b w:val="0"/>
          <w:bCs/>
          <w:color w:val="000000"/>
          <w:kern w:val="0"/>
          <w:sz w:val="32"/>
          <w:szCs w:val="32"/>
        </w:rPr>
        <w:t>第二十三条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县级以上人民政府应当建立跨地区、跨部门的气象灾害联合监测网络和气象灾害监测信息共享平台，完善气象灾害监测信息共享机制。</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有关部门和单位，应当及时、准确、无偿向气象灾害信息共享平台提供气象、水情、旱情、森林草原火险、地质险情、植物病虫害、环境污染等与气象灾害有关的监测信息，保障信息资源共享。</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气象主管机构对气象灾害监测信息共享平台进行管理和协调。</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第二十四条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气象主管机构所属气象台站，应当按照法定职责和公共服务需要，向社会统一发布公众气象预报、灾害性天气预报、警报、预警信号和天气、气候实况，并根据天气变化情况及时补充、订正。其他任何组织或者个人不得向社会发布天气预报、警报等气象信息。</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气象次生、衍生灾害的预报、警报，由有关部门会同气象主管机构向社会联合发布。法律法规另有规定的，从其规定。</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黑体" w:cs="宋体"/>
          <w:b w:val="0"/>
          <w:bCs/>
          <w:color w:val="000000"/>
          <w:kern w:val="0"/>
          <w:sz w:val="32"/>
          <w:szCs w:val="32"/>
        </w:rPr>
        <w:t>第二十五条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气象主管机构及其所属气象台站应当提高气象灾害预报、警报的准确性、时效性和有效性，做好灾害性、关键性、转折性天气预报、警报和灾害趋势气候预测，及时向本级人民政府报告，并通报相关防灾减灾机构和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第二十六条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广播、电视、报纸、电信、信息网络等媒体单位,应当及时、准确、无偿向公众传播公共气象预报、灾害性天气预报、警报和预警信号，并及时增播、插播或者补充、订正；不得拒绝传播、延误传播或者更改、删减和传播虚假、过时的灾害性天气预报、警报和预警信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传播公共气象预报、灾害性天气预报、警报和预警信号，应当使用气象主管机构所属气象台站直接提供的实时公共气象预报、灾害性天气预报、警报和预警信号，并标明发布气象台站的名称和发布时间。</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第二十七条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Arial"/>
          <w:color w:val="000000"/>
          <w:kern w:val="0"/>
          <w:sz w:val="32"/>
          <w:szCs w:val="32"/>
        </w:rPr>
        <w:t>乡镇人民政府、街道办事处、居民（村民）委员会和机场、车站、高速公路、学校、医院等人员密集场所的管理单</w:t>
      </w:r>
      <w:r>
        <w:rPr>
          <w:rFonts w:hint="eastAsia" w:ascii="仿宋_GB2312" w:hAnsi="宋体" w:eastAsia="仿宋_GB2312" w:cs="宋体"/>
          <w:color w:val="000000"/>
          <w:kern w:val="0"/>
          <w:sz w:val="32"/>
          <w:szCs w:val="32"/>
        </w:rPr>
        <w:t>位应当建立气象灾害信息员制度，在收到气象主管机构所属气象台站发布的灾害性天气预报、警报和预警信号后，应当及时向本辖区和场所公众传播，并采取相应防御措施。</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outlineLvl w:val="9"/>
        <w:rPr>
          <w:rFonts w:hint="eastAsia" w:ascii="仿宋_GB2312" w:hAnsi="宋体" w:eastAsia="黑体" w:cs="宋体"/>
          <w:b w:val="0"/>
          <w:bCs/>
          <w:color w:val="000000"/>
          <w:kern w:val="0"/>
          <w:sz w:val="32"/>
          <w:szCs w:val="32"/>
        </w:rPr>
      </w:pPr>
      <w:r>
        <w:rPr>
          <w:rFonts w:hint="eastAsia" w:ascii="仿宋_GB2312" w:hAnsi="宋体" w:eastAsia="黑体" w:cs="宋体"/>
          <w:b w:val="0"/>
          <w:bCs/>
          <w:color w:val="000000"/>
          <w:kern w:val="0"/>
          <w:sz w:val="32"/>
          <w:szCs w:val="32"/>
        </w:rPr>
        <w:t>第五章  应急与监督</w:t>
      </w:r>
    </w:p>
    <w:p>
      <w:pPr>
        <w:keepNext w:val="0"/>
        <w:keepLines w:val="0"/>
        <w:pageBreakBefore w:val="0"/>
        <w:widowControl w:val="0"/>
        <w:tabs>
          <w:tab w:val="left" w:pos="420"/>
        </w:tabs>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第二十八条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县级以上人民政府应当根据气象灾害防御规划,组织气象主管机构和其他有关部门制定重大气象灾害应急预案, 并组织实施。</w:t>
      </w:r>
    </w:p>
    <w:p>
      <w:pPr>
        <w:keepNext w:val="0"/>
        <w:keepLines w:val="0"/>
        <w:pageBreakBefore w:val="0"/>
        <w:widowControl w:val="0"/>
        <w:tabs>
          <w:tab w:val="left" w:pos="420"/>
        </w:tabs>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重大气象灾害应急预案应当包括下列内容：</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（一）气象灾害的性质和等级；</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（二）气象灾害应急组织指挥体系及有关部门职责；</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（三）气象灾害预防与预警机制；</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（四）气象灾害应急预案启动和响应程序；</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（五）气象灾害应急处置和保障措施；</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（六）灾后恢复、重建措施。</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第二十九条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县级以上人民政府应当根据气象主管机构所属气象台站发布的灾害性天气预报、警报和预警信号的严重和紧急程度，决定启动相应级别的重大气象灾害应急预案。</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县级以上人民政府启动和终止重大气象灾害应急预案，应当及时向社会公布，并报告上一级人民政府。</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rPr>
      </w:pPr>
      <w:r>
        <w:rPr>
          <w:rFonts w:hint="eastAsia" w:ascii="仿宋_GB2312" w:hAnsi="宋体" w:eastAsia="黑体" w:cs="宋体"/>
          <w:b w:val="0"/>
          <w:bCs/>
          <w:color w:val="000000"/>
          <w:kern w:val="0"/>
          <w:sz w:val="32"/>
          <w:szCs w:val="32"/>
        </w:rPr>
        <w:t>第三十条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bCs/>
          <w:color w:val="000000"/>
          <w:kern w:val="0"/>
          <w:sz w:val="32"/>
          <w:szCs w:val="32"/>
        </w:rPr>
        <w:t>县级以上人民政府可以根据气象灾害应急处置需要，组织有关部门采取下列处置措施：</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（一）划定气象灾害危险区域，组织人员撤离危险区域；</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（二）抢修损坏的道路、通信、供水、供电、供气等设施；</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（三）实行交通管制；</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（四）关闭或者限制使用易受气象灾害危害的场所，控制或者限制容易导致危害扩大的公共场所的活动；</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（五）对基本生活必需品和药品的生产、供应采取特殊管理措施；</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（六）组织实施人工影响天气作业；</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（七）组织做好农业和受气象灾害影响的其他行业的应急和恢复工作；</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仿宋_GB2312" w:cs="宋体"/>
          <w:color w:val="000000"/>
          <w:kern w:val="0"/>
          <w:sz w:val="32"/>
          <w:szCs w:val="32"/>
        </w:rPr>
        <w:t>（八）法律、法规规定的其他措施。</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黑体" w:cs="宋体"/>
          <w:b w:val="0"/>
          <w:bCs/>
          <w:color w:val="000000"/>
          <w:kern w:val="0"/>
          <w:sz w:val="32"/>
          <w:szCs w:val="32"/>
        </w:rPr>
        <w:t>第三十一条</w:t>
      </w:r>
      <w:r>
        <w:rPr>
          <w:rFonts w:hint="eastAsia" w:ascii="仿宋_GB2312" w:hAnsi="宋体" w:eastAsia="黑体" w:cs="宋体"/>
          <w:b/>
          <w:bCs/>
          <w:color w:val="000000"/>
          <w:kern w:val="0"/>
          <w:sz w:val="32"/>
          <w:szCs w:val="32"/>
          <w:lang w:val="en-US" w:eastAsia="zh-CN"/>
        </w:rPr>
        <w:t xml:space="preserve"> </w:t>
      </w:r>
      <w:r>
        <w:rPr>
          <w:rFonts w:hint="eastAsia" w:ascii="仿宋_GB2312" w:hAnsi="宋体" w:eastAsia="仿宋_GB2312" w:cs="宋体"/>
          <w:color w:val="000000"/>
          <w:kern w:val="0"/>
          <w:sz w:val="32"/>
          <w:szCs w:val="32"/>
        </w:rPr>
        <w:t>县级以上人民政府应当加强气象灾害应急救援队伍建设，开展应急救援培训和应急演练，并组织建立气象灾害信息员队伍。鼓励志愿者参与气象灾害应急救援，帮助群众做好防灾避灾工作。</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各类学校应当把气象灾害应急知识教育纳入公共安全教育内容，组织开展必要的气象灾害防御应急演练。</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jc w:val="center"/>
        <w:textAlignment w:val="auto"/>
        <w:outlineLvl w:val="9"/>
        <w:rPr>
          <w:rFonts w:hint="eastAsia" w:ascii="仿宋_GB2312" w:hAnsi="宋体" w:eastAsia="黑体" w:cs="宋体"/>
          <w:b w:val="0"/>
          <w:bCs/>
          <w:color w:val="000000"/>
          <w:kern w:val="0"/>
          <w:sz w:val="32"/>
          <w:szCs w:val="32"/>
        </w:rPr>
      </w:pPr>
      <w:r>
        <w:rPr>
          <w:rFonts w:hint="eastAsia" w:ascii="仿宋_GB2312" w:hAnsi="宋体" w:eastAsia="黑体" w:cs="宋体"/>
          <w:b w:val="0"/>
          <w:bCs/>
          <w:color w:val="000000"/>
          <w:kern w:val="0"/>
          <w:sz w:val="32"/>
          <w:szCs w:val="32"/>
        </w:rPr>
        <w:t>第六章  法律责任</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 w:hAnsi="仿宋" w:eastAsia="仿宋" w:cs="仿宋"/>
          <w:bCs/>
          <w:color w:val="000000"/>
          <w:kern w:val="0"/>
          <w:sz w:val="32"/>
          <w:szCs w:val="32"/>
        </w:rPr>
      </w:pPr>
      <w:r>
        <w:rPr>
          <w:rFonts w:hint="eastAsia" w:ascii="仿宋_GB2312" w:hAnsi="宋体" w:eastAsia="黑体" w:cs="宋体"/>
          <w:b w:val="0"/>
          <w:bCs/>
          <w:color w:val="000000"/>
          <w:kern w:val="0"/>
          <w:sz w:val="32"/>
          <w:szCs w:val="32"/>
        </w:rPr>
        <w:t>第三十二条</w:t>
      </w:r>
      <w:r>
        <w:rPr>
          <w:rFonts w:hint="eastAsia" w:ascii="仿宋_GB2312" w:hAnsi="宋体" w:eastAsia="黑体" w:cs="宋体"/>
          <w:b/>
          <w:color w:val="000000"/>
          <w:kern w:val="0"/>
          <w:sz w:val="32"/>
          <w:szCs w:val="32"/>
          <w:lang w:val="en-US" w:eastAsia="zh-CN"/>
        </w:rPr>
        <w:t xml:space="preserve"> </w:t>
      </w:r>
      <w:r>
        <w:rPr>
          <w:rFonts w:hint="eastAsia" w:ascii="仿宋" w:hAnsi="仿宋" w:eastAsia="仿宋" w:cs="仿宋"/>
          <w:bCs/>
          <w:color w:val="000000"/>
          <w:kern w:val="0"/>
          <w:sz w:val="32"/>
          <w:szCs w:val="32"/>
        </w:rPr>
        <w:t>县级以上人民政府有关部门有下列行为之一的，对有关责任人依法给予处分；构成犯罪的，依法追究刑事责任：</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（一）批准未经气候可行性论证的重大工程项目建设的；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（二）</w:t>
      </w:r>
      <w:r>
        <w:rPr>
          <w:rFonts w:hint="eastAsia" w:ascii="仿宋" w:hAnsi="仿宋" w:eastAsia="仿宋" w:cs="仿宋"/>
          <w:color w:val="000000"/>
          <w:kern w:val="0"/>
          <w:sz w:val="32"/>
          <w:szCs w:val="32"/>
        </w:rPr>
        <w:t>隐瞒、谎报或者授意他人隐瞒、谎报气象灾害情况的；</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 w:hAnsi="仿宋" w:eastAsia="仿宋" w:cs="仿宋"/>
          <w:b/>
          <w:bCs/>
          <w:color w:val="000000"/>
          <w:kern w:val="0"/>
          <w:sz w:val="32"/>
          <w:szCs w:val="32"/>
        </w:rPr>
      </w:pPr>
      <w:r>
        <w:rPr>
          <w:rFonts w:hint="eastAsia" w:ascii="仿宋" w:hAnsi="仿宋" w:eastAsia="仿宋" w:cs="仿宋"/>
          <w:bCs/>
          <w:color w:val="000000"/>
          <w:kern w:val="0"/>
          <w:sz w:val="32"/>
          <w:szCs w:val="32"/>
        </w:rPr>
        <w:t>（三）未按规划编制气象灾害应急预案或者未按气象灾害应急预案的要求制定有关措施、履</w:t>
      </w:r>
      <w:r>
        <w:rPr>
          <w:rFonts w:hint="eastAsia" w:ascii="仿宋" w:hAnsi="仿宋" w:eastAsia="仿宋" w:cs="仿宋"/>
          <w:color w:val="000000"/>
          <w:kern w:val="0"/>
          <w:sz w:val="32"/>
          <w:szCs w:val="32"/>
        </w:rPr>
        <w:t>行职责的</w:t>
      </w:r>
      <w:r>
        <w:rPr>
          <w:rFonts w:hint="eastAsia" w:ascii="仿宋" w:hAnsi="仿宋" w:eastAsia="仿宋" w:cs="仿宋"/>
          <w:bCs/>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宋体" w:eastAsia="黑体" w:cs="宋体"/>
          <w:b/>
          <w:color w:val="000000"/>
          <w:kern w:val="0"/>
          <w:sz w:val="32"/>
          <w:szCs w:val="32"/>
        </w:rPr>
      </w:pPr>
      <w:r>
        <w:rPr>
          <w:rFonts w:hint="eastAsia" w:ascii="仿宋_GB2312" w:hAnsi="宋体" w:eastAsia="黑体" w:cs="宋体"/>
          <w:b w:val="0"/>
          <w:bCs/>
          <w:color w:val="000000"/>
          <w:kern w:val="0"/>
          <w:sz w:val="32"/>
          <w:szCs w:val="32"/>
        </w:rPr>
        <w:t>第三十三条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气象主管机构及其所属气象台站的工作人员由于玩忽职守，导致重大漏报、错报公众气象预报、灾害性天气警报，以及丢失或者毁坏原始气象探测资料、伪造气象资料等事故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olor w:val="000000"/>
          <w:kern w:val="0"/>
          <w:sz w:val="32"/>
          <w:szCs w:val="32"/>
        </w:rPr>
      </w:pPr>
      <w:r>
        <w:rPr>
          <w:rFonts w:hint="eastAsia" w:ascii="仿宋_GB2312" w:hAnsi="宋体" w:eastAsia="黑体" w:cs="宋体"/>
          <w:b w:val="0"/>
          <w:bCs/>
          <w:color w:val="000000"/>
          <w:kern w:val="0"/>
          <w:sz w:val="32"/>
          <w:szCs w:val="32"/>
        </w:rPr>
        <w:t>第三十四条</w:t>
      </w:r>
      <w:r>
        <w:rPr>
          <w:rFonts w:hint="eastAsia" w:ascii="仿宋_GB2312" w:hAnsi="宋体" w:eastAsia="黑体"/>
          <w:b/>
          <w:color w:val="000000"/>
          <w:kern w:val="0"/>
          <w:sz w:val="32"/>
          <w:szCs w:val="32"/>
        </w:rPr>
        <w:t>　</w:t>
      </w:r>
      <w:r>
        <w:rPr>
          <w:rFonts w:hint="eastAsia" w:ascii="仿宋_GB2312" w:hAnsi="宋体" w:eastAsia="仿宋_GB2312" w:cs="宋体"/>
          <w:color w:val="000000"/>
          <w:kern w:val="0"/>
          <w:sz w:val="32"/>
          <w:szCs w:val="32"/>
        </w:rPr>
        <w:t>广播、电视、报纸、电信、信息网络等媒体</w:t>
      </w:r>
      <w:r>
        <w:rPr>
          <w:rFonts w:hint="eastAsia" w:ascii="仿宋_GB2312" w:hAnsi="宋体" w:eastAsia="仿宋_GB2312"/>
          <w:color w:val="000000"/>
          <w:kern w:val="0"/>
          <w:sz w:val="32"/>
          <w:szCs w:val="32"/>
        </w:rPr>
        <w:t>单位，有下列行为之一的，由县以上气象主管机构按照权限责令改正，给予警告，并处以五千元以上五万元以下的罚款：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spacing w:val="-2"/>
          <w:kern w:val="0"/>
          <w:sz w:val="32"/>
          <w:szCs w:val="32"/>
        </w:rPr>
        <w:t>（一）</w:t>
      </w:r>
      <w:r>
        <w:rPr>
          <w:rFonts w:hint="eastAsia" w:ascii="仿宋_GB2312" w:hAnsi="宋体" w:eastAsia="仿宋_GB2312" w:cs="宋体"/>
          <w:color w:val="000000"/>
          <w:kern w:val="0"/>
          <w:sz w:val="32"/>
          <w:szCs w:val="32"/>
        </w:rPr>
        <w:t>拒绝传播、延误传播或者未依法及时增播、插播、补充、订正公众气象预报、灾害性天气预报、警报、预警信号的；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（二）更改、删减或者传播虚假、过时的公众气象预报、灾害性天气预报、警报、预警信号的；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黑体" w:cs="宋体"/>
          <w:b/>
          <w:color w:val="000000"/>
          <w:spacing w:val="-2"/>
          <w:kern w:val="0"/>
          <w:sz w:val="32"/>
          <w:szCs w:val="32"/>
          <w:bdr w:val="single" w:color="auto" w:sz="4" w:space="0"/>
        </w:rPr>
      </w:pPr>
      <w:r>
        <w:rPr>
          <w:rFonts w:hint="eastAsia" w:ascii="仿宋_GB2312" w:hAnsi="宋体" w:eastAsia="仿宋_GB2312" w:cs="宋体"/>
          <w:color w:val="000000"/>
          <w:kern w:val="0"/>
          <w:sz w:val="32"/>
          <w:szCs w:val="32"/>
        </w:rPr>
        <w:t>（三）</w:t>
      </w:r>
      <w:r>
        <w:rPr>
          <w:rFonts w:hint="eastAsia" w:ascii="仿宋_GB2312" w:hAnsi="宋体" w:eastAsia="仿宋_GB2312"/>
          <w:color w:val="000000"/>
          <w:kern w:val="0"/>
          <w:sz w:val="32"/>
          <w:szCs w:val="32"/>
        </w:rPr>
        <w:t>向社会公众传播气象信息，不使用气象主管机构所属气象台站直接提供的实时公众气象预</w:t>
      </w:r>
      <w:r>
        <w:rPr>
          <w:rFonts w:hint="eastAsia" w:ascii="仿宋_GB2312" w:hAnsi="宋体" w:eastAsia="仿宋_GB2312" w:cs="宋体"/>
          <w:color w:val="000000"/>
          <w:kern w:val="0"/>
          <w:sz w:val="32"/>
          <w:szCs w:val="32"/>
        </w:rPr>
        <w:t>报、灾害性天气预报、警报和预警信号的</w:t>
      </w:r>
      <w:r>
        <w:rPr>
          <w:rFonts w:hint="eastAsia" w:ascii="仿宋_GB2312" w:hAnsi="宋体" w:eastAsia="仿宋_GB2312" w:cs="宋体"/>
          <w:color w:val="000000"/>
          <w:spacing w:val="-2"/>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b w:val="0"/>
          <w:bCs w:val="0"/>
          <w:color w:val="000000"/>
          <w:kern w:val="0"/>
          <w:sz w:val="32"/>
          <w:szCs w:val="32"/>
        </w:rPr>
      </w:pPr>
      <w:r>
        <w:rPr>
          <w:rFonts w:hint="eastAsia" w:ascii="仿宋_GB2312" w:hAnsi="宋体" w:eastAsia="黑体" w:cs="宋体"/>
          <w:b w:val="0"/>
          <w:bCs/>
          <w:color w:val="000000"/>
          <w:kern w:val="0"/>
          <w:sz w:val="32"/>
          <w:szCs w:val="32"/>
        </w:rPr>
        <w:t>第三十五条</w:t>
      </w:r>
      <w:r>
        <w:rPr>
          <w:rFonts w:hint="eastAsia" w:ascii="仿宋_GB2312" w:hAnsi="宋体" w:eastAsia="黑体" w:cs="宋体"/>
          <w:b/>
          <w:color w:val="000000"/>
          <w:kern w:val="0"/>
          <w:sz w:val="32"/>
          <w:szCs w:val="32"/>
          <w:lang w:val="en-US" w:eastAsia="zh-CN"/>
        </w:rPr>
        <w:t xml:space="preserve"> </w:t>
      </w:r>
      <w:r>
        <w:rPr>
          <w:rFonts w:hint="eastAsia" w:ascii="仿宋" w:hAnsi="仿宋" w:eastAsia="仿宋" w:cs="仿宋"/>
          <w:b w:val="0"/>
          <w:bCs w:val="0"/>
          <w:color w:val="000000"/>
          <w:spacing w:val="-2"/>
          <w:kern w:val="0"/>
          <w:sz w:val="32"/>
          <w:szCs w:val="32"/>
        </w:rPr>
        <w:t>有下列行为之</w:t>
      </w:r>
      <w:r>
        <w:rPr>
          <w:rFonts w:hint="eastAsia" w:ascii="仿宋" w:hAnsi="仿宋" w:eastAsia="仿宋" w:cs="仿宋"/>
          <w:b w:val="0"/>
          <w:bCs w:val="0"/>
          <w:color w:val="000000"/>
          <w:kern w:val="0"/>
          <w:sz w:val="32"/>
          <w:szCs w:val="32"/>
        </w:rPr>
        <w:t>一的，由县以上气象主管机构按照权限责令改正，给予警告，可以处以三千元以上三万元以下的罚款；造成损失的，依法承担赔偿责任：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（一）不具备气侯可行性论证能力的机构从事气侯可行性论证活动的；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（二）使用的气象资料，不符合国家气象技术标准的；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（三）伪造气象资料或者其他原始资料的;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（四）出具虚假的气侯可行性论证报告或者涂改、伪造气侯可行性论证报告书面评审意见的；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（五）应当进行气候可行性论证的建设项目，未经气候可性论证的；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（六）委托不具备气候可行性论证能力的机构进行气候可行性论证的。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rPr>
      </w:pPr>
      <w:r>
        <w:rPr>
          <w:rFonts w:hint="eastAsia" w:ascii="仿宋_GB2312" w:hAnsi="宋体" w:eastAsia="黑体" w:cs="宋体"/>
          <w:b w:val="0"/>
          <w:bCs/>
          <w:color w:val="000000"/>
          <w:kern w:val="0"/>
          <w:sz w:val="32"/>
          <w:szCs w:val="32"/>
        </w:rPr>
        <w:t>第三十六条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bCs/>
          <w:color w:val="000000"/>
          <w:kern w:val="0"/>
          <w:sz w:val="32"/>
          <w:szCs w:val="32"/>
        </w:rPr>
        <w:t>当事人对行政处罚决定不服的，可以依法申请复议或者提起行政诉讼；逾期不申请复议，也不提起诉讼，又不履行处罚决定的，由作出行政处罚决定的机关申请人民法院强制执行。</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jc w:val="center"/>
        <w:textAlignment w:val="auto"/>
        <w:outlineLvl w:val="9"/>
        <w:rPr>
          <w:rFonts w:hint="eastAsia" w:ascii="仿宋_GB2312" w:hAnsi="宋体" w:eastAsia="黑体" w:cs="宋体"/>
          <w:b w:val="0"/>
          <w:bCs/>
          <w:color w:val="000000"/>
          <w:kern w:val="0"/>
          <w:sz w:val="32"/>
          <w:szCs w:val="32"/>
        </w:rPr>
      </w:pPr>
      <w:r>
        <w:rPr>
          <w:rFonts w:hint="eastAsia" w:ascii="仿宋_GB2312" w:hAnsi="宋体" w:eastAsia="黑体" w:cs="宋体"/>
          <w:b w:val="0"/>
          <w:bCs/>
          <w:color w:val="000000"/>
          <w:kern w:val="0"/>
          <w:sz w:val="32"/>
          <w:szCs w:val="32"/>
        </w:rPr>
        <w:t>第七章  附则</w:t>
      </w:r>
    </w:p>
    <w:p>
      <w:pPr>
        <w:pStyle w:val="2"/>
        <w:keepNext w:val="0"/>
        <w:keepLines w:val="0"/>
        <w:pageBreakBefore w:val="0"/>
        <w:widowControl w:val="0"/>
        <w:kinsoku/>
        <w:wordWrap/>
        <w:overflowPunct/>
        <w:topLinePunct w:val="0"/>
        <w:autoSpaceDE/>
        <w:autoSpaceDN/>
        <w:bidi w:val="0"/>
        <w:adjustRightInd/>
        <w:snapToGrid w:val="0"/>
        <w:spacing w:line="440" w:lineRule="atLeast"/>
        <w:ind w:left="0" w:leftChars="0" w:right="0" w:rightChars="0"/>
        <w:jc w:val="both"/>
        <w:textAlignment w:val="auto"/>
        <w:outlineLvl w:val="9"/>
        <w:rPr>
          <w:rFonts w:hint="eastAsia" w:ascii="仿宋_GB2312" w:eastAsia="仿宋_GB2312"/>
          <w:color w:val="000000"/>
          <w:sz w:val="32"/>
          <w:szCs w:val="32"/>
        </w:rPr>
      </w:pPr>
      <w:r>
        <w:rPr>
          <w:rFonts w:hint="eastAsia" w:ascii="仿宋_GB2312" w:hAnsi="宋体" w:eastAsia="黑体" w:cs="宋体"/>
          <w:b w:val="0"/>
          <w:bCs/>
          <w:color w:val="000000"/>
          <w:kern w:val="0"/>
          <w:sz w:val="32"/>
          <w:szCs w:val="32"/>
        </w:rPr>
        <w:t>第三十七条</w:t>
      </w:r>
      <w:r>
        <w:rPr>
          <w:rFonts w:hint="eastAsia" w:ascii="仿宋_GB2312" w:hAnsi="宋体" w:eastAsia="黑体"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本条例自2009年10月1日起施行。</w:t>
      </w:r>
      <w:bookmarkStart w:id="0" w:name="_GoBack"/>
      <w:bookmarkEnd w:id="0"/>
    </w:p>
    <w:sectPr>
      <w:headerReference r:id="rId3" w:type="default"/>
      <w:footerReference r:id="rId4" w:type="default"/>
      <w:pgSz w:w="11849" w:h="16781"/>
      <w:pgMar w:top="1984" w:right="1587" w:bottom="1474" w:left="1587" w:header="737" w:footer="1134" w:gutter="0"/>
      <w:pgNumType w:fmt="numberInDash"/>
      <w:cols w:space="72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6310854">
    <w:nsid w:val="5FBE5BC6"/>
    <w:multiLevelType w:val="singleLevel"/>
    <w:tmpl w:val="5FBE5BC6"/>
    <w:lvl w:ilvl="0" w:tentative="1">
      <w:start w:val="1"/>
      <w:numFmt w:val="chineseCounting"/>
      <w:suff w:val="space"/>
      <w:lvlText w:val="第%1章"/>
      <w:lvlJc w:val="left"/>
    </w:lvl>
  </w:abstractNum>
  <w:num w:numId="1">
    <w:abstractNumId w:val="16063108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drawingGridHorizontalSpacing w:val="211"/>
  <w:drawingGridVerticalSpacing w:val="14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910"/>
    <w:rsid w:val="001248B4"/>
    <w:rsid w:val="00300306"/>
    <w:rsid w:val="00552773"/>
    <w:rsid w:val="005A4DB5"/>
    <w:rsid w:val="007677DF"/>
    <w:rsid w:val="007C14D0"/>
    <w:rsid w:val="00A22E4D"/>
    <w:rsid w:val="00AA454D"/>
    <w:rsid w:val="00AF5910"/>
    <w:rsid w:val="00B976CA"/>
    <w:rsid w:val="00C25822"/>
    <w:rsid w:val="00C4593E"/>
    <w:rsid w:val="00CB44BE"/>
    <w:rsid w:val="00E51399"/>
    <w:rsid w:val="00E63581"/>
    <w:rsid w:val="14403E14"/>
    <w:rsid w:val="19520B4C"/>
    <w:rsid w:val="1F4F0D1A"/>
    <w:rsid w:val="22593CBB"/>
    <w:rsid w:val="22B56AB7"/>
    <w:rsid w:val="28FF61E0"/>
    <w:rsid w:val="38EA631D"/>
    <w:rsid w:val="3D8209B6"/>
    <w:rsid w:val="413100E3"/>
    <w:rsid w:val="439341BB"/>
    <w:rsid w:val="4D8373E1"/>
    <w:rsid w:val="54F105BF"/>
    <w:rsid w:val="6D812CA0"/>
    <w:rsid w:val="6DA04D0A"/>
    <w:rsid w:val="7A26654E"/>
    <w:rsid w:val="7E2A6C9F"/>
    <w:rsid w:val="7F6C15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Normal Indent"/>
    <w:basedOn w:val="1"/>
    <w:next w:val="1"/>
    <w:qFormat/>
    <w:uiPriority w:val="0"/>
    <w:pPr>
      <w:ind w:firstLine="200" w:firstLineChars="200"/>
    </w:pPr>
  </w:style>
  <w:style w:type="paragraph" w:styleId="3">
    <w:name w:val="Plain Text"/>
    <w:basedOn w:val="1"/>
    <w:qFormat/>
    <w:uiPriority w:val="0"/>
    <w:pPr>
      <w:widowControl/>
      <w:spacing w:before="100" w:beforeAutospacing="1" w:after="100" w:afterAutospacing="1"/>
      <w:ind w:firstLine="480"/>
      <w:jc w:val="left"/>
    </w:pPr>
    <w:rPr>
      <w:rFonts w:ascii="宋体" w:hAnsi="宋体" w:cs="宋体"/>
      <w:kern w:val="0"/>
      <w:sz w:val="24"/>
    </w:rPr>
  </w:style>
  <w:style w:type="paragraph" w:styleId="4">
    <w:name w:val="Body Text Indent 2"/>
    <w:basedOn w:val="1"/>
    <w:uiPriority w:val="0"/>
    <w:pPr>
      <w:widowControl/>
      <w:spacing w:before="100" w:beforeAutospacing="1" w:after="100" w:afterAutospacing="1"/>
      <w:ind w:firstLine="480"/>
      <w:jc w:val="left"/>
    </w:pPr>
    <w:rPr>
      <w:rFonts w:ascii="宋体" w:hAnsi="宋体" w:cs="宋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widowControl/>
      <w:spacing w:before="100" w:beforeAutospacing="1" w:after="100" w:afterAutospacing="1"/>
      <w:ind w:firstLine="480"/>
      <w:jc w:val="left"/>
    </w:pPr>
    <w:rPr>
      <w:rFonts w:ascii="宋体" w:hAnsi="宋体" w:cs="宋体"/>
      <w:kern w:val="0"/>
      <w:sz w:val="24"/>
    </w:rPr>
  </w:style>
  <w:style w:type="paragraph" w:customStyle="1" w:styleId="9">
    <w:name w:val=" Char"/>
    <w:basedOn w:val="1"/>
    <w:link w:val="8"/>
    <w:qFormat/>
    <w:uiPriority w:val="0"/>
  </w:style>
  <w:style w:type="character" w:styleId="10">
    <w:name w:val="Strong"/>
    <w:basedOn w:val="8"/>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1</Pages>
  <Words>835</Words>
  <Characters>4765</Characters>
  <Lines>39</Lines>
  <Paragraphs>11</Paragraphs>
  <ScaleCrop>false</ScaleCrop>
  <LinksUpToDate>false</LinksUpToDate>
  <CharactersWithSpaces>5589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2011-06-08T02:32:00Z</dcterms:created>
  <dc:creator>何昭</dc:creator>
  <cp:lastModifiedBy>Administrator</cp:lastModifiedBy>
  <cp:lastPrinted>2020-11-25T12:51:00Z</cp:lastPrinted>
  <dcterms:modified xsi:type="dcterms:W3CDTF">2020-11-25T13:09:00Z</dcterms:modified>
  <dc:title>宁夏回族自治区人民代表大会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