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imes New Roman" w:hAnsi="Times New Roman" w:cs="Times New Roman"/>
          <w:sz w:val="44"/>
          <w:szCs w:val="44"/>
        </w:rPr>
      </w:pPr>
    </w:p>
    <w:p>
      <w:pPr>
        <w:pStyle w:val="2"/>
        <w:jc w:val="center"/>
        <w:rPr>
          <w:rFonts w:ascii="Times New Roman" w:hAnsi="Times New Roman" w:cs="Times New Roman"/>
          <w:sz w:val="44"/>
          <w:szCs w:val="44"/>
        </w:rPr>
      </w:pPr>
      <w:r>
        <w:rPr>
          <w:rFonts w:ascii="Times New Roman" w:hAnsi="Times New Roman" w:cs="Times New Roman"/>
          <w:sz w:val="44"/>
          <w:szCs w:val="44"/>
        </w:rPr>
        <w:t>指导外商投资方向规定</w:t>
      </w:r>
    </w:p>
    <w:p>
      <w:pPr>
        <w:pStyle w:val="2"/>
        <w:ind w:firstLine="640" w:firstLineChars="200"/>
        <w:rPr>
          <w:rFonts w:hint="eastAsia" w:ascii="Times New Roman" w:hAnsi="Times New Roman" w:eastAsia="楷体_GB2312" w:cs="Times New Roman"/>
          <w:sz w:val="32"/>
          <w:szCs w:val="32"/>
        </w:rPr>
      </w:pPr>
    </w:p>
    <w:p>
      <w:pPr>
        <w:pStyle w:val="2"/>
        <w:ind w:firstLine="640" w:firstLineChars="200"/>
        <w:rPr>
          <w:rFonts w:hint="eastAsia" w:ascii="楷体_GB2312" w:hAnsi="楷体_GB2312" w:eastAsia="楷体_GB2312" w:cs="楷体_GB2312"/>
          <w:sz w:val="32"/>
          <w:szCs w:val="32"/>
        </w:rPr>
      </w:pPr>
      <w:bookmarkStart w:id="0" w:name="_GoBack"/>
      <w:r>
        <w:rPr>
          <w:rFonts w:hint="eastAsia" w:ascii="楷体_GB2312" w:hAnsi="楷体_GB2312" w:eastAsia="楷体_GB2312" w:cs="楷体_GB2312"/>
          <w:sz w:val="32"/>
          <w:szCs w:val="32"/>
        </w:rPr>
        <w:t>(2002年2月11日中华人民共和国国务院令第346号公布　自2002年4月1日起施行)</w:t>
      </w:r>
    </w:p>
    <w:bookmarkEnd w:id="0"/>
    <w:p>
      <w:pPr>
        <w:pStyle w:val="2"/>
        <w:ind w:firstLine="640" w:firstLineChars="200"/>
        <w:rPr>
          <w:rFonts w:ascii="Times New Roman" w:hAnsi="Times New Roman" w:cs="Times New Roman"/>
          <w:sz w:val="32"/>
          <w:szCs w:val="32"/>
        </w:rPr>
      </w:pP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为了指导外商投资方向，使外商投资方向与我国国民经济和社会发展规划相适应，并有利于保护投资者的合法权益，根据国家有关外商投资的法律规定和产业政策要求，制定本规定。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本规定适用于在我国境内投资举办中外合资经营企业、中外合作经营企业和外资企业(以下简称外商投资企业)的项目以及其他形式的外商投资项目(以下简称外商投资项目)。</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外商投资产业指导目录》和《中西部地区外商投资优势产业目录》由国家发展计划委员会、国家经济贸易委员会、对外贸易经济合作部会同国务院有关部门制订，经国务院批准后公布；根据实际情况，需要对《外商投资产业指导目录》和《中西部地区外商投资优势产业目录》进行部分调整时，由国家经济贸易委员会、国家发展计划委员会、对外贸易经济合作部会同国务院有关部门适时修订并公布。</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《外商投资产业指导目录》和《中西部地区外商投资优势产业目录》是指导审批外商投资项目和外商投资企业适用有关政策的依据。</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外商投资项目分为鼓励、允许、限制和禁止四类。</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鼓励类、限制类和禁止类的外商投资项目，列入《外商投资产业指导目录》。不属于鼓励类、限制类和禁止类的外商投资项目，为允许类外商投资项目。允许类外商投资项目不列入《外商投资产业指导目录》。</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属于下列情形之一的，列为鼓励类外商投资项目：</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(一)属于农业新技术、农业综合开发和能源、交通、重要原材料工业的；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(二)属于高新技术、先进适用技术，能够改进产品性能、提高企业技术经济效益或者生产国内生产能力不足的新设备、新材料的；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(三)适应市场需求，能够提高产品档次、开拓新兴市场或者增加产品国际竞争能力的；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(四)属于新技术、新设备，能够节约能源和原材料、综合利用资源和再生资源以及防治环境污染的；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(五)能够发挥中西部地区的人力和资源优势，并符合国家产业政策的；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(六)法律、行政法规规定的其他情形。</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属于下列情形之一的，列为限制类外商投资项目：</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(一)技术水平落后的；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(二)不利于节约资源和改善生态环境的；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(三)从事国家规定实行保护性开采的特定矿种勘探、开采的；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(四)属于国家逐步开放的产业的；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(五)法律、行政法规规定的其他情形。</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属于下列情形之一的，列为禁止类外商投资项目：</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(一)危害国家安全或者损害社会公共利益的；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(二)对环境造成污染损害，破坏自然资源或者损害人体健康的；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(三)占用大量耕地，不利于保护、开发土地资源的；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(四)危害军事设施安全和使用效能的；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(五)运用我国特有工艺或者技术生产产品的；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(六)法律、行政法规规定的其他情形。</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《外商投资产业指导目录》可以对外商投资项目规定</w:t>
      </w:r>
      <w:r>
        <w:rPr>
          <w:rFonts w:hAnsi="宋体" w:cs="Times New Roman"/>
          <w:sz w:val="32"/>
          <w:szCs w:val="32"/>
        </w:rPr>
        <w:t>“</w:t>
      </w:r>
      <w:r>
        <w:rPr>
          <w:rFonts w:ascii="Times New Roman" w:hAnsi="Times New Roman" w:eastAsia="仿宋_GB2312" w:cs="Times New Roman"/>
          <w:sz w:val="32"/>
          <w:szCs w:val="32"/>
        </w:rPr>
        <w:t>限于合资、合作</w:t>
      </w:r>
      <w:r>
        <w:rPr>
          <w:rFonts w:hAnsi="宋体" w:cs="Times New Roman"/>
          <w:sz w:val="32"/>
          <w:szCs w:val="32"/>
        </w:rPr>
        <w:t>”</w:t>
      </w:r>
      <w:r>
        <w:rPr>
          <w:rFonts w:ascii="Times New Roman" w:hAnsi="Times New Roman" w:eastAsia="仿宋_GB2312" w:cs="Times New Roman"/>
          <w:sz w:val="32"/>
          <w:szCs w:val="32"/>
        </w:rPr>
        <w:t>、</w:t>
      </w:r>
      <w:r>
        <w:rPr>
          <w:rFonts w:hAnsi="宋体" w:cs="Times New Roman"/>
          <w:sz w:val="32"/>
          <w:szCs w:val="32"/>
        </w:rPr>
        <w:t>“</w:t>
      </w:r>
      <w:r>
        <w:rPr>
          <w:rFonts w:ascii="Times New Roman" w:hAnsi="Times New Roman" w:eastAsia="仿宋_GB2312" w:cs="Times New Roman"/>
          <w:sz w:val="32"/>
          <w:szCs w:val="32"/>
        </w:rPr>
        <w:t>中方控股</w:t>
      </w:r>
      <w:r>
        <w:rPr>
          <w:rFonts w:hAnsi="宋体" w:cs="Times New Roman"/>
          <w:sz w:val="32"/>
          <w:szCs w:val="32"/>
        </w:rPr>
        <w:t>”</w:t>
      </w:r>
      <w:r>
        <w:rPr>
          <w:rFonts w:ascii="Times New Roman" w:hAnsi="Times New Roman" w:eastAsia="仿宋_GB2312" w:cs="Times New Roman"/>
          <w:sz w:val="32"/>
          <w:szCs w:val="32"/>
        </w:rPr>
        <w:t>或者</w:t>
      </w:r>
      <w:r>
        <w:rPr>
          <w:rFonts w:hAnsi="宋体" w:cs="Times New Roman"/>
          <w:sz w:val="32"/>
          <w:szCs w:val="32"/>
        </w:rPr>
        <w:t>“</w:t>
      </w:r>
      <w:r>
        <w:rPr>
          <w:rFonts w:ascii="Times New Roman" w:hAnsi="Times New Roman" w:eastAsia="仿宋_GB2312" w:cs="Times New Roman"/>
          <w:sz w:val="32"/>
          <w:szCs w:val="32"/>
        </w:rPr>
        <w:t>中方相对控股</w:t>
      </w:r>
      <w:r>
        <w:rPr>
          <w:rFonts w:hAnsi="宋体" w:cs="Times New Roman"/>
          <w:sz w:val="32"/>
          <w:szCs w:val="32"/>
        </w:rPr>
        <w:t>”</w:t>
      </w:r>
      <w:r>
        <w:rPr>
          <w:rFonts w:ascii="Times New Roman" w:hAnsi="Times New Roman" w:eastAsia="仿宋_GB2312" w:cs="Times New Roman"/>
          <w:sz w:val="32"/>
          <w:szCs w:val="32"/>
        </w:rPr>
        <w:t>。</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限于合资、合作，是指仅允许中外合资经营、中外合作经营；中方控股，是指中方投资者在外商投资项目中的投资比例之和为51%及以上；中方相对控股，是指中方投资者在外商投资项目中的投资比例之和大于任何一方外国投资者的投资比例。</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鼓励类外商投资项目，除依照有关法律、行政法规的规定享受优惠待遇外，从事投资额大、回收期长的能源、交通、城市基础设施(煤炭、石油、天然气、电力、铁路、公路、港口、机场、城市道路、污水处理、垃圾处理等)建设、经营的，经批准，可以扩大与其相关的经营范围。</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产品全部直接出口的允许类外商投资项目，视为鼓励类外商投资项目；产品出口销售额占其产品销售总额70%以上的限制类外商投资项目，经省、自治区、直辖市及计划单列市人民政府或者国务院主管部门批准，可以视为允许类外商投资项目。</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对于确能发挥中西部地区优势的允许类和限制类外商投资项目，可以适当放宽条件；其中，列入《中西部地区外商投资优势产业目录》的，可以享受鼓励类外商投资项目优惠政策。</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根据现行审批权限，外商投资项目按照项目性质分别由发展计划部门和经贸部门审批、备案；外商投资企业的合同、章程由外经贸部门审批、备案。其中，限制类限额以下的外商投资项目由省、自治区、直辖市及计划单列市人民政府的相应主管部门审批，同时报上级主管部门和行业主管部门备案，此类项目的审批权不得下放。属于服务贸易领域逐步开放的外商投资项目，按照国家有关规定审批。</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涉及配额、许可证的外商投资项目，须先向外经贸部门申请配额、许可证。</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法律、行政法规对外商投资项目的审批程序和办法另有规定的，依照其规定。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对违反本规定审批的外商投资项目，上级审批机关应当自收到该项目的备案文件之日起30个工作日内予以撤销，其合同、章程无效，企业登记机关不予注册登记，海关不予办理进出口手续。</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外商投资项目申请人以欺骗等不正当手段，骗取项目批准的，根据情节轻重，依法追究法律责任；审批机关应当撤销对该项目的批准，并由有关主管机关依法作出相应的处理。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审批机关工作人员滥用职权、玩忽职守的，依照刑法关于滥用职权罪、玩忽职守罪的规定，依法追究刑事责任；尚不够刑事处罚的，依法给予记大过以上的行政处分。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华侨和香港特别行政区、澳门特别行政区、台湾地区的投资者举办的投资项目，比照本规定执行。</w:t>
      </w:r>
    </w:p>
    <w:p>
      <w:pPr>
        <w:ind w:firstLine="640" w:firstLineChars="200"/>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本规定自2002年4月1日起施行。1995年6月7日国务院批准，1995年6月20日国家计划委员会、国家经济贸易委员会、对外贸易经济合作部发布的《指导外商投资方向暂行规定》同时废止。</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B2E0EF6"/>
    <w:rsid w:val="00572CEA"/>
    <w:rsid w:val="00CE2E17"/>
    <w:rsid w:val="00D82811"/>
    <w:rsid w:val="0B2E0EF6"/>
    <w:rsid w:val="18BC6037"/>
    <w:rsid w:val="4E49311B"/>
    <w:rsid w:val="501F5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339</Words>
  <Characters>1934</Characters>
  <Lines>16</Lines>
  <Paragraphs>4</Paragraphs>
  <TotalTime>1</TotalTime>
  <ScaleCrop>false</ScaleCrop>
  <LinksUpToDate>false</LinksUpToDate>
  <CharactersWithSpaces>2269</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2019-05-22T15:54:00Z</dcterms:created>
  <dc:creator>Administrator</dc:creator>
  <cp:lastModifiedBy>Administrator</cp:lastModifiedBy>
  <cp:lastPrinted>2019-05-25T09:28:00Z</cp:lastPrinted>
  <dcterms:modified xsi:type="dcterms:W3CDTF">2019-07-05T07:41:40Z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