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EBD272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贵州省水利工程管理条例</w:t>
      </w:r>
    </w:p>
    <w:p w14:paraId="7406F63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（2016年3月31日贵州省第十二届人民代表大会常务委员会第二十一次会议通过　根据2020年9月25日贵州省第十三届人民代表大会常务委员会第十九次会议通过的《贵州省人大常委会关于修改〈贵州省道路交通安全条例〉等地方性法规个别条款的决定》修正）</w:t>
      </w:r>
    </w:p>
    <w:p w14:paraId="572923F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099634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为加强水利工程管理，保障水利工程安全运行，发挥水利工程的功能和效益，促进经济社会可持续发展，根据《中华人民共和国水法》和有关法律、法规的规定，结合本省实际，制定本条例。</w:t>
      </w:r>
    </w:p>
    <w:p w14:paraId="1160EE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本条例适用于本省行政区域内水利工程的管理、保护和利用。</w:t>
      </w:r>
    </w:p>
    <w:p w14:paraId="597795A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本条例所称水利工程，是指水库、水电站、水闸、堤防、拦河坝、山塘、水池、水窖、泵站、机井、渠道等蓄水、引水、提水、供排水工程及其附属设施、设备。</w:t>
      </w:r>
    </w:p>
    <w:p w14:paraId="275BC7B0">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城镇供排水、航运、污水处理、尾矿坝工程的管理，按照有关法律、法规规定执行。</w:t>
      </w:r>
    </w:p>
    <w:p w14:paraId="5B4280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县级以上人民政府应当加强对水利工程管理和保护工作的领导，加大对水利工程管理和保护的投入，保障水利工程安全运行。</w:t>
      </w:r>
    </w:p>
    <w:p w14:paraId="4E2BC26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县级以上人民政府水行政主管部门主管本行政区域内水利工程的监督管理工作，具体工作由其所属的水利工程管理机构负责。</w:t>
      </w:r>
    </w:p>
    <w:p w14:paraId="431CBA8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县级以上人民政府发展改革、财政、自然资源、住房城乡建设、生态环境、农业农村、林业、公安等有关行政部门按照各自职责负责水利工程管理和保护相关工作。</w:t>
      </w:r>
    </w:p>
    <w:p w14:paraId="5FC7F1D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乡镇人民政府、街道办事处按照职责负责本辖区内水利工程管理和保护相关工作。</w:t>
      </w:r>
    </w:p>
    <w:p w14:paraId="4DB30043">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水利工程所有者、管理者或者经营者负责水利工程的日常运行、维修养护和安全管理工作。</w:t>
      </w:r>
    </w:p>
    <w:p w14:paraId="7B0EC7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鼓励农村集体经济组织、农民用水合作组织及其他组织或者个人投资兴建、持有或者经营管理小型水利工程，其合法权利受法律保护。</w:t>
      </w:r>
    </w:p>
    <w:p w14:paraId="75CE83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任何单位和个人发现侵占、损坏水利工程的行为，有权进行制止、检举和控告。</w:t>
      </w:r>
    </w:p>
    <w:p w14:paraId="34F02C24">
      <w:pPr>
        <w:rPr>
          <w:rFonts w:ascii="Times New Roman" w:hAnsi="Times New Roman" w:eastAsia="宋体" w:cs="宋体"/>
          <w:szCs w:val="32"/>
        </w:rPr>
      </w:pPr>
    </w:p>
    <w:p w14:paraId="62D5035A">
      <w:pPr>
        <w:jc w:val="center"/>
        <w:rPr>
          <w:rFonts w:ascii="Times New Roman" w:hAnsi="Times New Roman" w:eastAsia="黑体" w:cs="黑体"/>
          <w:szCs w:val="32"/>
        </w:rPr>
      </w:pPr>
      <w:r>
        <w:rPr>
          <w:rFonts w:hint="eastAsia" w:ascii="Times New Roman" w:hAnsi="Times New Roman" w:eastAsia="黑体" w:cs="黑体"/>
          <w:szCs w:val="32"/>
        </w:rPr>
        <w:t>第二章　水利工程管理</w:t>
      </w:r>
    </w:p>
    <w:p w14:paraId="491AA4D7">
      <w:pPr>
        <w:rPr>
          <w:rFonts w:ascii="Times New Roman" w:hAnsi="Times New Roman" w:eastAsia="宋体" w:cs="宋体"/>
          <w:szCs w:val="32"/>
        </w:rPr>
      </w:pPr>
    </w:p>
    <w:p w14:paraId="3645B9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水利工程应当明晰产权。县级以上人民政府有关行政部门对水利工程所有权、使用权、水资源使用权、土地使用权等进行确权登记，并由县级以上人民政府颁发相关权属证书。</w:t>
      </w:r>
    </w:p>
    <w:p w14:paraId="27E177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水行政主管部门管理的水利工程实行分级管理：</w:t>
      </w:r>
    </w:p>
    <w:p w14:paraId="4A9E6B88">
      <w:pPr>
        <w:ind w:firstLine="632" w:firstLineChars="200"/>
        <w:rPr>
          <w:rFonts w:ascii="Times New Roman" w:hAnsi="Times New Roman" w:cs="仿宋_GB2312"/>
          <w:sz w:val="32"/>
          <w:szCs w:val="32"/>
        </w:rPr>
      </w:pPr>
      <w:r>
        <w:rPr>
          <w:rFonts w:hint="eastAsia" w:ascii="Times New Roman" w:hAnsi="Times New Roman" w:cs="仿宋_GB2312"/>
          <w:sz w:val="32"/>
          <w:szCs w:val="32"/>
        </w:rPr>
        <w:t>（一）大型及跨市、州行政区域的中型水利工程由省人民政府水行政主管部门负责；</w:t>
      </w:r>
    </w:p>
    <w:p w14:paraId="37B67C9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（二）中型及跨县级行政区域的小（1）型水利工程，由市、州人民政府水行政主管部门负责；</w:t>
      </w:r>
    </w:p>
    <w:p w14:paraId="41F2E34C">
      <w:pPr>
        <w:ind w:firstLine="632" w:firstLineChars="200"/>
        <w:rPr>
          <w:rFonts w:ascii="Times New Roman" w:hAnsi="Times New Roman" w:cs="仿宋_GB2312"/>
          <w:sz w:val="32"/>
          <w:szCs w:val="32"/>
        </w:rPr>
      </w:pPr>
      <w:r>
        <w:rPr>
          <w:rFonts w:hint="eastAsia" w:ascii="Times New Roman" w:hAnsi="Times New Roman" w:cs="仿宋_GB2312"/>
          <w:sz w:val="32"/>
          <w:szCs w:val="32"/>
        </w:rPr>
        <w:t>（三）小（1）型及跨乡镇行政区域的小（2）型水利工程，由所在地县级人民政府水行政主管部门负责；</w:t>
      </w:r>
    </w:p>
    <w:p w14:paraId="4DA7BE1F">
      <w:pPr>
        <w:ind w:firstLine="632" w:firstLineChars="200"/>
        <w:rPr>
          <w:rFonts w:ascii="Times New Roman" w:hAnsi="Times New Roman" w:cs="仿宋_GB2312"/>
          <w:sz w:val="32"/>
          <w:szCs w:val="32"/>
        </w:rPr>
      </w:pPr>
      <w:r>
        <w:rPr>
          <w:rFonts w:hint="eastAsia" w:ascii="Times New Roman" w:hAnsi="Times New Roman" w:cs="仿宋_GB2312"/>
          <w:sz w:val="32"/>
          <w:szCs w:val="32"/>
        </w:rPr>
        <w:t>（四）第一项、第二项、第三项规定以外的水利工程，由工程所在地乡镇人民政府、街道办事处负责。</w:t>
      </w:r>
    </w:p>
    <w:p w14:paraId="3F2B0D4E">
      <w:pPr>
        <w:ind w:firstLine="632" w:firstLineChars="200"/>
        <w:rPr>
          <w:rFonts w:ascii="Times New Roman" w:hAnsi="Times New Roman" w:cs="仿宋_GB2312"/>
          <w:sz w:val="32"/>
          <w:szCs w:val="32"/>
        </w:rPr>
      </w:pPr>
      <w:r>
        <w:rPr>
          <w:rFonts w:hint="eastAsia" w:ascii="Times New Roman" w:hAnsi="Times New Roman" w:cs="仿宋_GB2312"/>
          <w:sz w:val="32"/>
          <w:szCs w:val="32"/>
        </w:rPr>
        <w:t>位于城镇上游位置的重要水库，可以提高一级管理。上级人民政府水行政主管部门管理的水库，可以根据实际需要指定下一级人民政府水行政主管部门管理。</w:t>
      </w:r>
    </w:p>
    <w:p w14:paraId="64881B5A">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水行政主管部门管理以外的水利工程，由其主管部门确定管理权限和管理方式。</w:t>
      </w:r>
    </w:p>
    <w:p w14:paraId="681E970E">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集体和个人所有的水利工程，由工程所有者负责管理，或者采取拍卖、租赁、承包、委托等方式落实管护主体和责任。</w:t>
      </w:r>
    </w:p>
    <w:p w14:paraId="3046AD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纯公益性水利工程和准公益性水利工程的公益性部分的运行管护经费纳入同级财政预算；工程的改建扩建、除险加固、大修理、更新改造等投资纳入基本建设投资计划。</w:t>
      </w:r>
    </w:p>
    <w:p w14:paraId="29B4B828">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经营性水利工程和准公益性水利工程的经营性部分的运行管护费用，以及工程改建扩建、除险加固、大修理、更新改造等费用由工程所有者、经营者承担。</w:t>
      </w:r>
    </w:p>
    <w:p w14:paraId="3544D8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水利工程安全管理实行责任制度：</w:t>
      </w:r>
    </w:p>
    <w:p w14:paraId="54322ED1">
      <w:pPr>
        <w:ind w:firstLine="632" w:firstLineChars="200"/>
        <w:rPr>
          <w:rFonts w:ascii="Times New Roman" w:hAnsi="Times New Roman" w:cs="仿宋_GB2312"/>
          <w:sz w:val="32"/>
          <w:szCs w:val="32"/>
        </w:rPr>
      </w:pPr>
      <w:r>
        <w:rPr>
          <w:rFonts w:hint="eastAsia" w:ascii="Times New Roman" w:hAnsi="Times New Roman" w:cs="仿宋_GB2312"/>
          <w:sz w:val="32"/>
          <w:szCs w:val="32"/>
        </w:rPr>
        <w:t>（一）各级人民政府按照分级管理原则对水利工程安全负领导责任；</w:t>
      </w:r>
    </w:p>
    <w:p w14:paraId="4CD56E50">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（二）县级以上人民政府水行政主管部门对水利工程安全负行业监管责任，对直接管理的水利工程安全负主管责任；</w:t>
      </w:r>
    </w:p>
    <w:p w14:paraId="7D6258E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（三）其他水利工程的主管部门对其管理的水利工程安全负主管责任；</w:t>
      </w:r>
    </w:p>
    <w:p w14:paraId="7AE1E821">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（四）水利工程所有者、管理者或者经营者对水利工程安全负直接责任；在涉及公共安全的危险部位应当设置警示标志。</w:t>
      </w:r>
    </w:p>
    <w:p w14:paraId="288275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水利工程管理机构应当配备必要的安全设施、设备，开展安全检查。水利工程所有者或者经营者应当完善水利工程的相关设施、设备，建立健全管护制度，按照有关技术标准和规范对水利工程设施、设备进行观测、监测、检查和维护，确保水利工程安全运行。</w:t>
      </w:r>
    </w:p>
    <w:p w14:paraId="265AA99F">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水利工程所有者或者经营者可以采取购买服务方式，对水利工程实行专业化、社会化管护。</w:t>
      </w:r>
    </w:p>
    <w:p w14:paraId="7920C5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水库、水电站所有者应当按照有关技术标准和规范对水库、水电站开展注册登记、水库大坝安全鉴定、降等与报废工作。</w:t>
      </w:r>
    </w:p>
    <w:p w14:paraId="2A8FCAD2">
      <w:pPr>
        <w:rPr>
          <w:rFonts w:ascii="Times New Roman" w:hAnsi="Times New Roman" w:eastAsia="宋体" w:cs="宋体"/>
          <w:szCs w:val="32"/>
        </w:rPr>
      </w:pPr>
    </w:p>
    <w:p w14:paraId="0CCF4936">
      <w:pPr>
        <w:jc w:val="center"/>
        <w:rPr>
          <w:rFonts w:ascii="Times New Roman" w:hAnsi="Times New Roman" w:eastAsia="黑体" w:cs="黑体"/>
          <w:szCs w:val="32"/>
        </w:rPr>
      </w:pPr>
      <w:r>
        <w:rPr>
          <w:rFonts w:hint="eastAsia" w:ascii="Times New Roman" w:hAnsi="Times New Roman" w:eastAsia="黑体" w:cs="黑体"/>
          <w:szCs w:val="32"/>
        </w:rPr>
        <w:t>第三章　水利工程保护</w:t>
      </w:r>
    </w:p>
    <w:p w14:paraId="2B65E77D">
      <w:pPr>
        <w:rPr>
          <w:rFonts w:ascii="Times New Roman" w:hAnsi="Times New Roman" w:eastAsia="宋体" w:cs="宋体"/>
          <w:szCs w:val="32"/>
        </w:rPr>
      </w:pPr>
    </w:p>
    <w:p w14:paraId="1E1291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水利工程保护范围的划定，国有水利工程由管理单位提出方案，集体和个人所有的水利工程由水利工程所有者、管理者提出方案，按照分级管理规定经同级人民政府水行政主管部门会同有关部门审核后，报有批准权限的人民政府批准。</w:t>
      </w:r>
    </w:p>
    <w:p w14:paraId="2AA053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水利工程保护范围划定标准：</w:t>
      </w:r>
    </w:p>
    <w:p w14:paraId="74D23C73">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（一）水库、水电站及堤防工程按照水库、水电站大坝安全管理及堤防工程的有关规定划定；</w:t>
      </w:r>
    </w:p>
    <w:p w14:paraId="34BA6F20">
      <w:pPr>
        <w:ind w:firstLine="632" w:firstLineChars="200"/>
        <w:rPr>
          <w:rFonts w:ascii="Times New Roman" w:hAnsi="Times New Roman" w:cs="仿宋_GB2312"/>
          <w:sz w:val="32"/>
          <w:szCs w:val="32"/>
        </w:rPr>
      </w:pPr>
      <w:r>
        <w:rPr>
          <w:rFonts w:hint="eastAsia" w:ascii="Times New Roman" w:hAnsi="Times New Roman" w:cs="仿宋_GB2312"/>
          <w:sz w:val="32"/>
          <w:szCs w:val="32"/>
        </w:rPr>
        <w:t>（二）大中型闸坝为上、下游各100米至200米；两端各50米至100米；</w:t>
      </w:r>
    </w:p>
    <w:p w14:paraId="46DD140C">
      <w:pPr>
        <w:ind w:firstLine="632" w:firstLineChars="200"/>
        <w:rPr>
          <w:rFonts w:ascii="Times New Roman" w:hAnsi="Times New Roman" w:cs="仿宋_GB2312"/>
          <w:sz w:val="32"/>
          <w:szCs w:val="32"/>
        </w:rPr>
      </w:pPr>
      <w:r>
        <w:rPr>
          <w:rFonts w:hint="eastAsia" w:ascii="Times New Roman" w:hAnsi="Times New Roman" w:cs="仿宋_GB2312"/>
          <w:sz w:val="32"/>
          <w:szCs w:val="32"/>
        </w:rPr>
        <w:t>（三）泵站为建筑物周边30米至50米；</w:t>
      </w:r>
    </w:p>
    <w:p w14:paraId="6F04EA20">
      <w:pPr>
        <w:ind w:firstLine="632" w:firstLineChars="200"/>
        <w:rPr>
          <w:rFonts w:ascii="Times New Roman" w:hAnsi="Times New Roman" w:cs="仿宋_GB2312"/>
          <w:sz w:val="32"/>
          <w:szCs w:val="32"/>
        </w:rPr>
      </w:pPr>
      <w:r>
        <w:rPr>
          <w:rFonts w:hint="eastAsia" w:ascii="Times New Roman" w:hAnsi="Times New Roman" w:cs="仿宋_GB2312"/>
          <w:sz w:val="32"/>
          <w:szCs w:val="32"/>
        </w:rPr>
        <w:t>（四）流量为0</w:t>
      </w:r>
      <w:bookmarkStart w:id="0" w:name="_GoBack"/>
      <w:r>
        <w:rPr>
          <w:rFonts w:hint="eastAsia" w:ascii="Times New Roman" w:hAnsi="Times New Roman" w:cs="仿宋_GB2312"/>
          <w:sz w:val="32"/>
          <w:szCs w:val="32"/>
        </w:rPr>
        <w:t>.</w:t>
      </w:r>
      <w:bookmarkEnd w:id="0"/>
      <w:r>
        <w:rPr>
          <w:rFonts w:hint="eastAsia" w:ascii="Times New Roman" w:hAnsi="Times New Roman" w:cs="仿宋_GB2312"/>
          <w:sz w:val="32"/>
          <w:szCs w:val="32"/>
        </w:rPr>
        <w:t>5立方米/秒及以上的渠道，经过山地的，上边坡为堤顶外沿线以外3米至5米，下边坡为渠堤外坡脚以外5米至10米，经过耕作区的，为渠堤外坡脚以外3米至5米；</w:t>
      </w:r>
    </w:p>
    <w:p w14:paraId="59F969F3">
      <w:pPr>
        <w:ind w:firstLine="632" w:firstLineChars="200"/>
        <w:rPr>
          <w:rFonts w:ascii="Times New Roman" w:hAnsi="Times New Roman" w:cs="仿宋_GB2312"/>
          <w:sz w:val="32"/>
          <w:szCs w:val="32"/>
        </w:rPr>
      </w:pPr>
      <w:r>
        <w:rPr>
          <w:rFonts w:hint="eastAsia" w:ascii="Times New Roman" w:hAnsi="Times New Roman" w:cs="仿宋_GB2312"/>
          <w:sz w:val="32"/>
          <w:szCs w:val="32"/>
        </w:rPr>
        <w:t>（五）山塘、水池、水窖等水利工程，按照工程保护实际需要合理划定。</w:t>
      </w:r>
    </w:p>
    <w:p w14:paraId="370D83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国有水利工程管理范围的划定，由水利工程管理单位提出方案，按照分级管理规定经同级人民政府水行政主管部门会同有关主管部门审核后，报有批准权限的人民政府批准。</w:t>
      </w:r>
    </w:p>
    <w:p w14:paraId="1CB1AC80">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农村集体经济组织、农民用水合作组织及其他组织或者个人投资兴建的水利工程的管理范围，由水利工程的所有者、管理者报请有管辖权的县级人民政府批准。</w:t>
      </w:r>
    </w:p>
    <w:p w14:paraId="4CA5AD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水利工程管理范围划定标准：</w:t>
      </w:r>
    </w:p>
    <w:p w14:paraId="4DB9E51E">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（一）水库、水电站及堤防工程按照水库、水电站大坝安全及堤防工程的有关规定划定；</w:t>
      </w:r>
    </w:p>
    <w:p w14:paraId="514064EC">
      <w:pPr>
        <w:ind w:firstLine="632" w:firstLineChars="200"/>
        <w:rPr>
          <w:rFonts w:ascii="Times New Roman" w:hAnsi="Times New Roman" w:cs="仿宋_GB2312"/>
          <w:sz w:val="32"/>
          <w:szCs w:val="32"/>
        </w:rPr>
      </w:pPr>
      <w:r>
        <w:rPr>
          <w:rFonts w:hint="eastAsia" w:ascii="Times New Roman" w:hAnsi="Times New Roman" w:cs="仿宋_GB2312"/>
          <w:sz w:val="32"/>
          <w:szCs w:val="32"/>
        </w:rPr>
        <w:t>（二）大中型闸坝为上、下游50米至150米，两端各30米至70米；</w:t>
      </w:r>
    </w:p>
    <w:p w14:paraId="1AA9B206">
      <w:pPr>
        <w:ind w:firstLine="632" w:firstLineChars="200"/>
        <w:rPr>
          <w:rFonts w:ascii="Times New Roman" w:hAnsi="Times New Roman" w:cs="仿宋_GB2312"/>
          <w:sz w:val="32"/>
          <w:szCs w:val="32"/>
        </w:rPr>
      </w:pPr>
      <w:r>
        <w:rPr>
          <w:rFonts w:hint="eastAsia" w:ascii="Times New Roman" w:hAnsi="Times New Roman" w:cs="仿宋_GB2312"/>
          <w:sz w:val="32"/>
          <w:szCs w:val="32"/>
        </w:rPr>
        <w:t>（三）泵站为厂区构筑物和前池、进出水道等建筑物周边10米至30米；</w:t>
      </w:r>
    </w:p>
    <w:p w14:paraId="3D7D6739">
      <w:pPr>
        <w:ind w:firstLine="632" w:firstLineChars="200"/>
        <w:rPr>
          <w:rFonts w:ascii="Times New Roman" w:hAnsi="Times New Roman" w:cs="仿宋_GB2312"/>
          <w:sz w:val="32"/>
          <w:szCs w:val="32"/>
        </w:rPr>
      </w:pPr>
      <w:r>
        <w:rPr>
          <w:rFonts w:hint="eastAsia" w:ascii="Times New Roman" w:hAnsi="Times New Roman" w:cs="仿宋_GB2312"/>
          <w:sz w:val="32"/>
          <w:szCs w:val="32"/>
        </w:rPr>
        <w:t>（四）流量为0.5立方米/秒及以上的渠道，为左右外边坡脚线之间；</w:t>
      </w:r>
    </w:p>
    <w:p w14:paraId="2CF8DD53">
      <w:pPr>
        <w:ind w:firstLine="632" w:firstLineChars="200"/>
        <w:rPr>
          <w:rFonts w:ascii="Times New Roman" w:hAnsi="Times New Roman" w:cs="仿宋_GB2312"/>
          <w:sz w:val="32"/>
          <w:szCs w:val="32"/>
        </w:rPr>
      </w:pPr>
      <w:r>
        <w:rPr>
          <w:rFonts w:hint="eastAsia" w:ascii="Times New Roman" w:hAnsi="Times New Roman" w:cs="仿宋_GB2312"/>
          <w:sz w:val="32"/>
          <w:szCs w:val="32"/>
        </w:rPr>
        <w:t>（五）山塘、水池、水窖等水利工程，按照工程管理实际需要合理划定。</w:t>
      </w:r>
    </w:p>
    <w:p w14:paraId="19E12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水库、水电站、水闸、堤防、泵站、渠道等水利工程所有者、管理者，应当将县级以上人民政府批准的水利工程管理范围和保护范围予以公告，并在边界设置界桩、界碑等标识。</w:t>
      </w:r>
    </w:p>
    <w:p w14:paraId="2926F2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在水利工程保护范围内，禁止下列影响工程运行和危害工程安全的行为：</w:t>
      </w:r>
    </w:p>
    <w:p w14:paraId="24D25FB9">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（一）生产、加工、储存或者销售易燃易爆、剧毒、放射性等危险物品；</w:t>
      </w:r>
    </w:p>
    <w:p w14:paraId="2202AC2F">
      <w:pPr>
        <w:ind w:firstLine="632" w:firstLineChars="200"/>
        <w:rPr>
          <w:rFonts w:ascii="Times New Roman" w:hAnsi="Times New Roman" w:cs="仿宋_GB2312"/>
          <w:sz w:val="32"/>
          <w:szCs w:val="32"/>
        </w:rPr>
      </w:pPr>
      <w:r>
        <w:rPr>
          <w:rFonts w:hint="eastAsia" w:ascii="Times New Roman" w:hAnsi="Times New Roman" w:cs="仿宋_GB2312"/>
          <w:sz w:val="32"/>
          <w:szCs w:val="32"/>
        </w:rPr>
        <w:t>（二）爆破、打井、钻探；</w:t>
      </w:r>
    </w:p>
    <w:p w14:paraId="2822407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（三）兴建涵洞、开挖隧洞、开采矿产资源影响工程蓄水和安全；</w:t>
      </w:r>
    </w:p>
    <w:p w14:paraId="5B88F1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（四）其他可能影响工程运行或者危害工程安全的行为。</w:t>
      </w:r>
    </w:p>
    <w:p w14:paraId="4DBBD4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在水利工程管理范围内，除执行本条例第十七条规定外，禁止下列行为：</w:t>
      </w:r>
    </w:p>
    <w:p w14:paraId="4ADECCA8">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（一）建设影响工程正常运行或者危害工程安全的建筑物、构筑物及设施；</w:t>
      </w:r>
    </w:p>
    <w:p w14:paraId="0666B8A2">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（二）开渠、挖塘、采石、取土、开采地下资源、葬坟、炸鱼；</w:t>
      </w:r>
    </w:p>
    <w:p w14:paraId="1F1A78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（三）倾倒、堆放影响工程正常运行或者危害工程安全的弃渣、弃土或者其他废弃物；</w:t>
      </w:r>
    </w:p>
    <w:p w14:paraId="016A16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（四）在土坝坝面或者坝坡放牧；</w:t>
      </w:r>
    </w:p>
    <w:p w14:paraId="75727032">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（五）在水库溢洪道和排涝、输水渠道内设置影响行洪和输水的障碍物或者种植林木和高秆作物。</w:t>
      </w:r>
    </w:p>
    <w:p w14:paraId="1C399C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任何单位和个人不得侵占、破坏水利工程建筑物及其观测、防汛、通讯、输变电、水文、交通等附属设施，不得擅自移动、覆盖、涂改、拆除、损毁界桩、界碑、标识，不得在水利工程专用输电、通信线路上架线和接线。</w:t>
      </w:r>
    </w:p>
    <w:p w14:paraId="0F9691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水利工程所有者、管理者或者经营者应当在堤</w:t>
      </w:r>
    </w:p>
    <w:p w14:paraId="1252381B">
      <w:pPr>
        <w:ind w:firstLine="632" w:firstLineChars="200"/>
        <w:rPr>
          <w:rFonts w:ascii="Times New Roman" w:hAnsi="Times New Roman" w:cs="仿宋_GB2312"/>
          <w:sz w:val="32"/>
          <w:szCs w:val="32"/>
        </w:rPr>
      </w:pPr>
      <w:r>
        <w:rPr>
          <w:rFonts w:hint="eastAsia" w:ascii="Times New Roman" w:hAnsi="Times New Roman" w:cs="仿宋_GB2312"/>
          <w:sz w:val="32"/>
          <w:szCs w:val="32"/>
        </w:rPr>
        <w:t>顶、坝顶及水闸工作桥上设置禁行标志。除执行防汛抢险、水利工程管理和维护的车辆外，禁止其他机动车辆在堤顶、坝顶及水闸工作桥上通行。</w:t>
      </w:r>
    </w:p>
    <w:p w14:paraId="0F9BCA5F">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利用堤顶、坝顶及水闸工作桥兼做道路的，应当符合工程相关安全标准要求，并设立限载标志；机动车载运爆炸物品、易燃易爆化学物品以及剧毒、放射性等危险物品通行的，应当经依法批准后，按照指定地点、时间、速度行驶，悬挂警示标志并采取必要的安全措施。</w:t>
      </w:r>
    </w:p>
    <w:p w14:paraId="51E490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任何单位和个人不得擅自占用水利工程或者在水利工程管理范围内建设项目及开展经营活动，不得擅自占用农灌水源或者从水库、引水、提水工程内取水、截水，不得擅自在水利工程水域内设置或者增大排污口，排放污水、弃水以及改变水利工程原有功能、综合调度方案等。</w:t>
      </w:r>
    </w:p>
    <w:p w14:paraId="4AA4A6A6">
      <w:pPr>
        <w:rPr>
          <w:rFonts w:ascii="Times New Roman" w:hAnsi="Times New Roman" w:eastAsia="宋体" w:cs="宋体"/>
          <w:szCs w:val="32"/>
        </w:rPr>
      </w:pPr>
    </w:p>
    <w:p w14:paraId="5C8721EC">
      <w:pPr>
        <w:jc w:val="center"/>
        <w:rPr>
          <w:rFonts w:ascii="Times New Roman" w:hAnsi="Times New Roman" w:eastAsia="黑体" w:cs="黑体"/>
          <w:szCs w:val="32"/>
        </w:rPr>
      </w:pPr>
      <w:r>
        <w:rPr>
          <w:rFonts w:hint="eastAsia" w:ascii="Times New Roman" w:hAnsi="Times New Roman" w:eastAsia="黑体" w:cs="黑体"/>
          <w:szCs w:val="32"/>
        </w:rPr>
        <w:t>第四章　水利工程利用</w:t>
      </w:r>
    </w:p>
    <w:p w14:paraId="5FE6B211">
      <w:pPr>
        <w:rPr>
          <w:rFonts w:ascii="Times New Roman" w:hAnsi="Times New Roman" w:eastAsia="宋体" w:cs="宋体"/>
          <w:szCs w:val="32"/>
        </w:rPr>
      </w:pPr>
    </w:p>
    <w:p w14:paraId="0E821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小型水利工程的所有权、使用权、水资源使用权，可以依法拍卖、转让、租赁、承包。</w:t>
      </w:r>
    </w:p>
    <w:p w14:paraId="659722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综合利用水利工程的水量分配应当首先满足城乡居民生活用水，兼顾生产和生态用水。</w:t>
      </w:r>
    </w:p>
    <w:p w14:paraId="585845A3">
      <w:pPr>
        <w:ind w:firstLine="632" w:firstLineChars="200"/>
        <w:rPr>
          <w:rFonts w:ascii="Times New Roman" w:hAnsi="Times New Roman" w:cs="仿宋_GB2312"/>
          <w:sz w:val="32"/>
          <w:szCs w:val="32"/>
        </w:rPr>
      </w:pPr>
      <w:r>
        <w:rPr>
          <w:rFonts w:hint="eastAsia" w:ascii="Times New Roman" w:hAnsi="Times New Roman" w:cs="仿宋_GB2312"/>
          <w:sz w:val="32"/>
          <w:szCs w:val="32"/>
        </w:rPr>
        <w:t>水库、水电站的所有者、管理者或者经营者应当编制调度规程、年度调度运用计划、安全管理专项应急预案、防汛抢险应急预案，水库、水电站的调度应当保障防洪安全，服从防汛抗旱指挥机构的统一调度。</w:t>
      </w:r>
    </w:p>
    <w:p w14:paraId="261C84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用水单位和个人应当节约用水、计划用水。利用水利工程供水的，实行有偿供水和计量收费，超定额用水的实行累进加价。</w:t>
      </w:r>
    </w:p>
    <w:p w14:paraId="5BD8D6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水利工程的所有者、管理者或者经营者开展供水、发电、旅游、种植、养殖等经营活动，不得改变水利工程功能、影响水利工程安全和生态环境；通过承包、租赁等方式利用水利工程管理范围的水土资源开展经营活动的，实行有偿使用。</w:t>
      </w:r>
    </w:p>
    <w:p w14:paraId="18F5F92A">
      <w:pPr>
        <w:rPr>
          <w:rFonts w:ascii="Times New Roman" w:hAnsi="Times New Roman" w:eastAsia="宋体" w:cs="宋体"/>
          <w:szCs w:val="32"/>
        </w:rPr>
      </w:pPr>
    </w:p>
    <w:p w14:paraId="41520150">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3313AC60">
      <w:pPr>
        <w:rPr>
          <w:rFonts w:ascii="Times New Roman" w:hAnsi="Times New Roman" w:eastAsia="宋体" w:cs="宋体"/>
          <w:szCs w:val="32"/>
        </w:rPr>
      </w:pPr>
    </w:p>
    <w:p w14:paraId="10AD8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违反本条例第十七条规定的，由县级人民政府水行政主管部门责令停止违法行为，恢复原状或者采取补救措施，并按照以下规定处罚：</w:t>
      </w:r>
    </w:p>
    <w:p w14:paraId="58C4F8A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（一）违反第一项规定的，处以3万元以上5万元以下罚款；</w:t>
      </w:r>
    </w:p>
    <w:p w14:paraId="200DA2B4">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（二）违反第二项、第三项规定的，处以1万元以上3万元以下罚款。</w:t>
      </w:r>
    </w:p>
    <w:p w14:paraId="087F3C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违反本条例第十八条规定的，由县级人民政府水行政主管部门或者有关行政部门责令限期拆除，恢复原状或者采取补救措施，处以罚款：</w:t>
      </w:r>
    </w:p>
    <w:p w14:paraId="39A42E7B">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（一）违反第一项规定的，处以1万元以上4万元以下罚款；</w:t>
      </w:r>
    </w:p>
    <w:p w14:paraId="59EA6C41">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（二）违反第二项规定的，处以1万元以上2万元以下罚款；</w:t>
      </w:r>
    </w:p>
    <w:p w14:paraId="7A8C309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（三）违反第三项、第四项、第五项规定的，处以200元以上2000元以下罚款。</w:t>
      </w:r>
    </w:p>
    <w:p w14:paraId="7E4D10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违反本条例第十九条规定的，由县级人民政府水行政主管部门责令停止违法行为，恢复原状，处以1000元以上2万元以下罚款。</w:t>
      </w:r>
    </w:p>
    <w:p w14:paraId="393930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违反本条例第二十条第一款规定的，由县级人民政府水行政主管部门责令停止违法行为，处以100元以上1000元以下罚款。</w:t>
      </w:r>
    </w:p>
    <w:p w14:paraId="400B0D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违反本条例第二十一条规定的，由县级人民政府水行政主管部门责令停止违法行为，对个人处以1000元以上5000元以下罚款，对单位处以1万元以上8万元以下罚款。</w:t>
      </w:r>
    </w:p>
    <w:p w14:paraId="128F60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违反本条例规定，有关法律、法规另有处罚规定的，从其规定。</w:t>
      </w:r>
    </w:p>
    <w:p w14:paraId="7A601C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违反本条例规定，国家机关及其工作人员，有下列行为之一，尚不构成犯罪的，对直接负责的主管人员和其他直接责任人给予处分：</w:t>
      </w:r>
    </w:p>
    <w:p w14:paraId="286949C4">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（一）违反水利工程调度规程造成危害的；</w:t>
      </w:r>
    </w:p>
    <w:p w14:paraId="0B5BE814">
      <w:pPr>
        <w:ind w:firstLine="632" w:firstLineChars="200"/>
        <w:rPr>
          <w:rFonts w:ascii="Times New Roman" w:hAnsi="Times New Roman" w:cs="仿宋_GB2312"/>
          <w:sz w:val="32"/>
          <w:szCs w:val="32"/>
        </w:rPr>
      </w:pPr>
      <w:r>
        <w:rPr>
          <w:rFonts w:hint="eastAsia" w:ascii="Times New Roman" w:hAnsi="Times New Roman" w:cs="仿宋_GB2312"/>
          <w:sz w:val="32"/>
          <w:szCs w:val="32"/>
        </w:rPr>
        <w:t>（二）供水水质不符合国家规定标准而继续供水的；</w:t>
      </w:r>
    </w:p>
    <w:p w14:paraId="439CA59F">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（三）不按照规定收取水费或者截留、挪用水费的；</w:t>
      </w:r>
    </w:p>
    <w:p w14:paraId="56D9A8B1">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（四）不履行监督检查职责的；</w:t>
      </w:r>
    </w:p>
    <w:p w14:paraId="4DFD68D6">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（五）其他玩忽职守、滥用职权、徇私舞弊的行为。</w:t>
      </w:r>
    </w:p>
    <w:p w14:paraId="28126850">
      <w:pPr>
        <w:rPr>
          <w:rFonts w:ascii="Times New Roman" w:hAnsi="Times New Roman" w:eastAsia="宋体" w:cs="宋体"/>
          <w:szCs w:val="32"/>
        </w:rPr>
      </w:pPr>
    </w:p>
    <w:p w14:paraId="49753BF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2A928CD">
      <w:pPr>
        <w:rPr>
          <w:rFonts w:ascii="Times New Roman" w:hAnsi="Times New Roman" w:eastAsia="宋体" w:cs="宋体"/>
          <w:szCs w:val="32"/>
        </w:rPr>
      </w:pPr>
    </w:p>
    <w:p w14:paraId="24CDDB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本条例自2016年5月1日起施行。1996年11月29日贵州省第八届人民代表大会常务委员会第二十五次会议通过的《贵州省水利工程设施管理条例》同时废止。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6730A36"/>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4301</Words>
  <Characters>4357</Characters>
  <Lines>87</Lines>
  <Paragraphs>24</Paragraphs>
  <TotalTime>4</TotalTime>
  <ScaleCrop>false</ScaleCrop>
  <LinksUpToDate>false</LinksUpToDate>
  <CharactersWithSpaces>4401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2024-11-13T09:14:56Z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929D4CC631144346A73A837F55B5A89A_13</vt:lpwstr>
  </property>
  <property fmtid="{D5CDD505-2E9C-101B-9397-08002B2CF9AE}" pid="3" name="KSOProductBuildVer">
    <vt:lpwstr>2052-12.1.0.18608</vt:lpwstr>
  </property>
</Properties>
</file>