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imes New Roman" w:hAnsi="Times New Roman" w:cs="Times New Roman"/>
          <w:sz w:val="44"/>
          <w:szCs w:val="44"/>
        </w:rPr>
      </w:pPr>
    </w:p>
    <w:p>
      <w:pPr>
        <w:pStyle w:val="3"/>
        <w:jc w:val="center"/>
        <w:rPr>
          <w:rFonts w:ascii="Times New Roman" w:hAnsi="Times New Roman" w:cs="Times New Roman"/>
          <w:sz w:val="44"/>
          <w:szCs w:val="44"/>
        </w:rPr>
      </w:pPr>
      <w:r>
        <w:rPr>
          <w:rFonts w:ascii="Times New Roman" w:hAnsi="Times New Roman" w:cs="Times New Roman"/>
          <w:sz w:val="44"/>
          <w:szCs w:val="44"/>
        </w:rPr>
        <w:t>金融资产管理公司条例</w:t>
      </w:r>
    </w:p>
    <w:p>
      <w:pPr>
        <w:pStyle w:val="3"/>
        <w:ind w:firstLine="640" w:firstLineChars="200"/>
        <w:rPr>
          <w:rFonts w:hint="eastAsia" w:ascii="Times New Roman" w:hAnsi="Times New Roman" w:eastAsia="楷体_GB2312" w:cs="Times New Roman"/>
          <w:sz w:val="32"/>
          <w:szCs w:val="32"/>
        </w:rPr>
      </w:pPr>
    </w:p>
    <w:p>
      <w:pPr>
        <w:pStyle w:val="3"/>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(2000年11月1日国务院第32次常务会议通过　2000年11月10日中华人民共和国国务院令第297号公布　自公布之日起施行)</w:t>
      </w:r>
    </w:p>
    <w:p>
      <w:pPr>
        <w:pStyle w:val="2"/>
        <w:rPr>
          <w:rFonts w:ascii="方正黑体_GBK"/>
        </w:rPr>
      </w:pPr>
      <w:r>
        <w:rPr>
          <w:rFonts w:hint="eastAsia" w:ascii="方正黑体_GBK" w:hAnsi="Times New Roman" w:cs="Times New Roman"/>
        </w:rPr>
        <w:t>第一章　总</w:t>
      </w:r>
      <w:bookmarkStart w:id="0" w:name="_GoBack"/>
      <w:bookmarkEnd w:id="0"/>
      <w:r>
        <w:rPr>
          <w:rFonts w:hint="eastAsia" w:ascii="方正黑体_GBK" w:hAnsi="Times New Roman" w:cs="Times New Roman"/>
        </w:rPr>
        <w:t>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为了规范金融资产管理公司的活动，依法处理国有银行不良贷款，促进国有银行和国有企业的改革和发展，制定本条例。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金融资产管理公司，是指经国务院决定设立的收购国有银行不良贷款，管理和处置因收购国有银行不良贷款形成的资产的国有独资非银行金融机构。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金融资产管理公司以最大限度保全资产、减少损失为主要经营目标，依法独立承担民事责任。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中国人民银行、财政部和中国证券监督管理委员会依据各自的法定职责对金融资产管理公司实施监督管理。</w:t>
      </w:r>
    </w:p>
    <w:p>
      <w:pPr>
        <w:pStyle w:val="2"/>
        <w:rPr>
          <w:rFonts w:ascii="方正黑体_GBK"/>
        </w:rPr>
      </w:pPr>
      <w:r>
        <w:rPr>
          <w:rFonts w:hint="eastAsia" w:ascii="方正黑体_GBK" w:hAnsi="Times New Roman" w:cs="Times New Roman"/>
        </w:rPr>
        <w:t>第二章　公司的设立和业务范围</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金融资产管理公司的注册资本为人民币100亿元，由财政部核拨。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金融资产管理公司由中国人民银行颁发《金融机构法人许可证》，并向工商行政管理部门依法办理登记。</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金融资产管理公司设立分支机构，须经财政部同意，并报中国人民银行批准，由中国人民银行颁发《金融机构营业许可证》，并向工商行政管理部门依法办理登记。</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金融资产管理公司设总裁1人、副总裁若干人。总裁、副总裁由国务院任命。总裁对外代表金融资产管理公司行使职权，负责金融资产管理公司的经营管理。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金融资产管理公司的高级管理人员须经中国人民银行审查任职资格。</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金融资产管理公司监事会的组成、职责和工作程序，依照《国有重点金融机构监事会暂行条例》执行。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金融资产管理公司在其收购的国有银行不良贷款范围内，管理和处置因收购国有银行不良贷款形成的资产时，可以从事下列业务活动：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(一)追偿债务；</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(二)对所收购的不良贷款形成的资产进行租赁或者以其他形式转让、重组；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(三)债权转股权，并对企业阶段性持股；</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(四)资产管理范围内公司的上市推荐及债券、股票承销；</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(五)发行金融债券，向金融机构借款；</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(六)财务及法律咨询，资产及项目评估；</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(七)中国人民银行、中国证券监督管理委员会批准的其他业务活动。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金融资产管理公司可以向中国人民银行申请再贷款。</w:t>
      </w:r>
    </w:p>
    <w:p>
      <w:pPr>
        <w:pStyle w:val="2"/>
        <w:rPr>
          <w:rFonts w:ascii="方正黑体_GBK"/>
        </w:rPr>
      </w:pPr>
      <w:r>
        <w:rPr>
          <w:rFonts w:hint="eastAsia" w:ascii="方正黑体_GBK" w:hAnsi="Times New Roman" w:cs="Times New Roman"/>
        </w:rPr>
        <w:t>第三章　收购不良贷款的范围、额度及资金来源</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金融资产管理公司按照国务院确定的范围和额度收购国有银行不良贷款；超出确定的范围或者额度收购的，须经国务院专项审批。</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在国务院确定的额度内，金融资产管理公司按照账面价值收购有关贷款本金和相对应的计入损益的应收未收利息；对未计入损益的应收未收利息，实行无偿划转。</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金融资产管理公司收购不良贷款后，即取得原债权人对债务人的各项权利。原借款合同的债务人、担保人及有关当事人应当继续履行合同规定的义务。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金融资产管理公司收购不良贷款的资金来源包括：</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(一)划转中国人民银行发放给国有独资商业银行的部分再贷款；</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(二)发行金融债券。</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中国人民银行发放给国有独资商业银行的再贷款划转给金融资产管理公司，实行固定利率，年利率为2.25%。</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金融资产管理公司发行金融债券，由中国人民银行会同财政部审批。</w:t>
      </w:r>
    </w:p>
    <w:p>
      <w:pPr>
        <w:pStyle w:val="2"/>
        <w:rPr>
          <w:rFonts w:ascii="方正黑体_GBK"/>
        </w:rPr>
      </w:pPr>
      <w:r>
        <w:rPr>
          <w:rFonts w:hint="eastAsia" w:ascii="方正黑体_GBK" w:hAnsi="Times New Roman" w:cs="Times New Roman"/>
        </w:rPr>
        <w:t>第四章　债权转股权</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金融资产管理公司可以将收购国有银行不良贷款取得的债权转为对借款企业的股权。</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金融资产管理公司持有的股权，不受本公司净资产额或者注册资本的比例限制。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实施债权转股权，应当贯彻国家产业政策，有利于优化经济结构，促进有关企业的技术进步和产品升级。</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实施债权转股权的企业，由国家经济贸易委员会向金融资产管理公司推荐。金融资产管理公司对被推荐的企业进行独立评审，制定企业债权转股权的方案并与企业签订债权转股权协议。债权转股权的方案和协议由国家经济贸易委员会会同财政部、中国人民银行审核，报国务院批准后实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实施债权转股权的企业，应当按照现代企业制度的要求，转换经营机制，建立规范的公司法人治理结构，加强企业管理。有关地方人民政府应当帮助企业减员增效、下岗分流，分离企业办社会的职能。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金融资产管理公司的债权转股权后，作为企业的股东，可以派员参加企业董事会、监事会，依法行使股东权利。</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金融资产管理公司持有的企业股权，可以按照国家有关规定向境内外投资者转让，也可以由债权转股权企业依法回购。</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企业实施债权转股权后，应当按照国家有关规定办理企业产权变更等有关登记。</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国家经济贸易委员会负责组织、指导、协调企业债权转股权工作。</w:t>
      </w:r>
    </w:p>
    <w:p>
      <w:pPr>
        <w:pStyle w:val="2"/>
        <w:rPr>
          <w:rFonts w:ascii="方正黑体_GBK"/>
        </w:rPr>
      </w:pPr>
      <w:r>
        <w:rPr>
          <w:rFonts w:hint="eastAsia" w:ascii="方正黑体_GBK" w:hAnsi="Times New Roman" w:cs="Times New Roman"/>
        </w:rPr>
        <w:t>第五章　公司的经营和管理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金融资产管理公司实行经营目标责任制。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财政部根据不良贷款质量的情况，确定金融资产管理公司处置不良贷款的经营目标，并进行考核和监督。</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金融资产管理公司应当根据不良贷款的特点，制定经营方针和有关措施，完善内部治理结构，建立内部约束机制和激励机制。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金融资产管理公司管理、处置因收购国有银行不良贷款形成的资产，应当按照公开、竞争、择优的原则运作。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金融资产管理公司转让资产，主要采取招标、拍卖等方式。</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金融资产管理公司的债权因债务人破产等原因得不到清偿的，按照国务院的规定处理。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金融资产管理公司资产处置管理办法由财政部制定。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金融资产管理公司根据业务需要，可以聘请具有会计、资产评估和法律服务等资格的中介机构协助开展业务。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金融资产管理公司免交在收购国有银行不良贷款和承接、处置因收购国有银行不良贷款形成的资产的业务活动中的税收。具体办法由财政部会同国家税务总局制定。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金融资产管理公司免交工商登记注册费等行政性收费。</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金融资产管理公司应当按照中国人民银行、财政部和中国证券监督管理委员会等有关部门的要求，报送财务、统计报表和其他有关材料。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金融资产管理公司应当依法接受审计机关的审计监督。</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金融资产管理公司应当聘请财政部认可的注册会计师对其财务状况进行年度审计，并将审计报告及时报送各有关监督管理部门。</w:t>
      </w:r>
    </w:p>
    <w:p>
      <w:pPr>
        <w:pStyle w:val="2"/>
        <w:rPr>
          <w:rFonts w:ascii="方正黑体_GBK"/>
        </w:rPr>
      </w:pPr>
      <w:r>
        <w:rPr>
          <w:rFonts w:hint="eastAsia" w:ascii="方正黑体_GBK" w:hAnsi="Times New Roman" w:cs="Times New Roman"/>
        </w:rPr>
        <w:t>第六章　公司的终止和清算</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金融资产管理公司终止时，由财政部组织清算组，进行清算。</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金融资产管理公司处置不良贷款形成的最终损失，由财政部提出解决方案，报国务院批准执行。</w:t>
      </w:r>
    </w:p>
    <w:p>
      <w:pPr>
        <w:pStyle w:val="2"/>
        <w:rPr>
          <w:rFonts w:ascii="方正黑体_GBK"/>
        </w:rPr>
      </w:pPr>
      <w:r>
        <w:rPr>
          <w:rFonts w:hint="eastAsia" w:ascii="方正黑体_GBK" w:hAnsi="Times New Roman" w:cs="Times New Roman"/>
        </w:rPr>
        <w:t>第七章　附则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金融资产管理公司违反金融法律、行政法规的，由中国人民银行依照有关法律和《金融违法行为处罚办法》给予处罚；违反其他有关法律、行政法规的，由有关部门依法给予处罚；构成犯罪的，依法追究刑事责任。</w:t>
      </w:r>
    </w:p>
    <w:p>
      <w:pPr>
        <w:ind w:firstLine="640" w:firstLineChars="200"/>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本条例自公布之日起施行。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9A575EB"/>
    <w:rsid w:val="008E64F7"/>
    <w:rsid w:val="00B65ABE"/>
    <w:rsid w:val="00C01039"/>
    <w:rsid w:val="08E93891"/>
    <w:rsid w:val="14D53C4F"/>
    <w:rsid w:val="361F7831"/>
    <w:rsid w:val="39A575EB"/>
    <w:rsid w:val="3F6E36BC"/>
    <w:rsid w:val="6FC26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jc w:val="center"/>
      <w:outlineLvl w:val="1"/>
    </w:pPr>
    <w:rPr>
      <w:rFonts w:eastAsia="方正黑体_GBK" w:asciiTheme="majorAscii" w:hAnsiTheme="majorAscii" w:cstheme="majorBidi"/>
      <w:bCs/>
      <w:sz w:val="32"/>
      <w:szCs w:val="32"/>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412</Words>
  <Characters>2350</Characters>
  <Lines>19</Lines>
  <Paragraphs>5</Paragraphs>
  <TotalTime>0</TotalTime>
  <ScaleCrop>false</ScaleCrop>
  <LinksUpToDate>false</LinksUpToDate>
  <CharactersWithSpaces>2757</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2019-05-22T14:15:00Z</dcterms:created>
  <dc:creator>Administrator</dc:creator>
  <cp:lastModifiedBy>Administrator</cp:lastModifiedBy>
  <cp:lastPrinted>2019-05-25T01:27:00Z</cp:lastPrinted>
  <dcterms:modified xsi:type="dcterms:W3CDTF">2019-07-05T07:38:31Z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