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5E97EF30">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贵州省文物保护条例</w:t>
      </w:r>
    </w:p>
    <w:p w14:paraId="2B6C54A1">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（2005年9月23日贵州省第十届人民代表大会常务委员会第十七次会议通过　根据2015年7月31日贵州省第十二届人民代表大会常务委员会第十六次会议通过的《贵州省人民代表大会常务委员会关于修改〈贵州省统计管理条例〉等五件法规个别条款的决定》第一次修正　根据2017年11月30日贵州省第十二届人民代表大会常务委员会第三十二次会议通过的《贵州省人民代表大会常务委员会关于修改〈贵州省建筑市场管理条例〉等二十五件法规个别条款的决定》第二次修正　根据2020年9月25日贵州省第十三届人民代表大会常务委员会第十九次会议通过的《贵州省人民代表大会常务委员会关于修改〈贵州省道路交通安全条例〉等地方性法规个别条款的决定》第三次修正）</w:t>
      </w:r>
    </w:p>
    <w:p w14:paraId="5B3B4988">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为了加强对文物的保护，根据《中华人民共和国文物保护法》和有关法律、法规的规定，结合本省实际，制定本条例。</w:t>
      </w:r>
    </w:p>
    <w:p w14:paraId="439AE38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本条例适用于本省行政区域内的文物和具有科学价值的古脊椎动物化石、古人类化石的保护、利用和管理。</w:t>
      </w:r>
    </w:p>
    <w:p w14:paraId="376574C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各级人民政府负责本行政区域内的文物保护工作。</w:t>
      </w:r>
    </w:p>
    <w:p w14:paraId="63F11793">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县级以上人民政府应当将文物保护事业纳入本级国民经济和社会发展规划，所需经费列入本级财政预算；用于文物保护的财政拨款随着财政收入增长而增加。</w:t>
      </w:r>
    </w:p>
    <w:p w14:paraId="3F16D94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县级以上人民政府文物行政主管部门负责对本行政区域内的文物保护实施监督管理。</w:t>
      </w:r>
    </w:p>
    <w:p w14:paraId="5BA22FEE">
      <w:pPr>
        <w:ind w:firstLine="632" w:firstLineChars="200"/>
        <w:rPr>
          <w:rFonts w:ascii="Times New Roman" w:hAnsi="Times New Roman" w:cs="仿宋_GB2312"/>
          <w:sz w:val="32"/>
          <w:szCs w:val="32"/>
        </w:rPr>
      </w:pPr>
      <w:r>
        <w:rPr>
          <w:rFonts w:hint="eastAsia" w:ascii="Times New Roman" w:hAnsi="Times New Roman" w:cs="仿宋_GB2312"/>
          <w:sz w:val="32"/>
          <w:szCs w:val="32"/>
        </w:rPr>
        <w:t>其他相关部门在各自的职责范围内做好文物保护的有关工作。</w:t>
      </w:r>
    </w:p>
    <w:p w14:paraId="2D8EE23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县级以上人民政府文物行政主管部门应当定期开展文物普查登记工作，与其他相关部门实行文物信息资源共享，制定文物保护的科学技术研究规划，促进文物保护科技成果的推广和应用，提高文物保护的科学技术水平，组织文物和博物馆专业人才的培训工作。</w:t>
      </w:r>
    </w:p>
    <w:p w14:paraId="4CABC04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县级以上人民政府文物行政主管部门应当加强对反映本省少数民族历史发展、社会生产、生活习俗、节日庆典、信仰祭祀、游艺活动和民俗仪式的文献、典籍、契约、手稿、谱牒、器具、用具、服饰等具有代表性的可移动文物的抢救、保护和利用。</w:t>
      </w:r>
    </w:p>
    <w:p w14:paraId="0E85E22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鼓励和支持单位和个人建立与本省历史文物、少数民族文物等相关、具有地方特点的专题博物馆。</w:t>
      </w:r>
    </w:p>
    <w:p w14:paraId="00F2CFF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省级文物保护单位，由省人民政府文物行政主管部门根据本省行政区域内不可移动文物的历史、艺术、科学价值确定，报省人民政府核定公布，并报国务院备案。具有重大历史、艺术、科学价值的不可移动文物，应当向国务院文物行政主管部门推荐为全国重点文物保护单位。</w:t>
      </w:r>
    </w:p>
    <w:p w14:paraId="7EE9E5C0">
      <w:pPr>
        <w:ind w:firstLine="632" w:firstLineChars="200"/>
        <w:rPr>
          <w:rFonts w:ascii="Times New Roman" w:hAnsi="Times New Roman" w:cs="仿宋_GB2312"/>
          <w:sz w:val="32"/>
          <w:szCs w:val="32"/>
        </w:rPr>
      </w:pPr>
      <w:r>
        <w:rPr>
          <w:rFonts w:hint="eastAsia" w:ascii="Times New Roman" w:hAnsi="Times New Roman" w:cs="仿宋_GB2312"/>
          <w:sz w:val="32"/>
          <w:szCs w:val="32"/>
        </w:rPr>
        <w:t>市、自治州级和县级文物保护单位，分别由市、自治州和县级人民政府文物行政主管部门根据本行政区域内不可移动文物的历史、艺术、科学价值确定，报同级人民政府核定公布，并报省人民政府备案。</w:t>
      </w:r>
    </w:p>
    <w:p w14:paraId="7605FF30">
      <w:pPr>
        <w:ind w:firstLine="632" w:firstLineChars="200"/>
        <w:rPr>
          <w:rFonts w:ascii="Times New Roman" w:hAnsi="Times New Roman" w:cs="仿宋_GB2312"/>
          <w:sz w:val="32"/>
          <w:szCs w:val="32"/>
        </w:rPr>
      </w:pPr>
      <w:r>
        <w:rPr>
          <w:rFonts w:hint="eastAsia" w:ascii="Times New Roman" w:hAnsi="Times New Roman" w:cs="仿宋_GB2312"/>
          <w:sz w:val="32"/>
          <w:szCs w:val="32"/>
        </w:rPr>
        <w:t>尚未核定公布为文物保护单位的不可移动文物，由县级人民政府文物行政主管部门组织调查后，对其名称、类别、位置、规模等事项予以登记并公布，并留存相关的图片资料，建立记录档案。</w:t>
      </w:r>
    </w:p>
    <w:p w14:paraId="35168F3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全国重点文物保护单位、省级文物保护单位自核定公布之日起1年内，其保护范围分别由所在地的市、自治州、县级人民政府文物行政主管部门会同同级规划行政主管部门提出初步意见，经省人民政府文物行政主管部门会同同级规划行政主管部门划定后，报省人民政府批准公布。全国重点文物保护单位的保护范围划定后，由省人民政府文物行政主管部门报国务院文物行政主管部门备案。</w:t>
      </w:r>
    </w:p>
    <w:p w14:paraId="5DDE3F2C">
      <w:pPr>
        <w:ind w:firstLine="632" w:firstLineChars="200"/>
        <w:rPr>
          <w:rFonts w:ascii="Times New Roman" w:hAnsi="Times New Roman" w:cs="仿宋_GB2312"/>
          <w:sz w:val="32"/>
          <w:szCs w:val="32"/>
        </w:rPr>
      </w:pPr>
      <w:r>
        <w:rPr>
          <w:rFonts w:hint="eastAsia" w:ascii="Times New Roman" w:hAnsi="Times New Roman" w:cs="仿宋_GB2312"/>
          <w:sz w:val="32"/>
          <w:szCs w:val="32"/>
        </w:rPr>
        <w:t>市、自治州级和县级文物保护单位自核定公布之日起1年内，其保护范围分别由原核定公布单位划定后，报同级人民政府批准公布，并报上一级人民政府文物行政主管部门备案。</w:t>
      </w:r>
    </w:p>
    <w:p w14:paraId="460E7BB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省人民政府文物行政主管部门负责制定全国重点文物保护单位和省级文物保护单位的具体保护措施。市、自治州、县级人民政府文物行政主管部门分别负责制定市、自治州级和县级文物保护单位和未核定为文物保护单位的不可移动文物的具体保护措施，并公告施行。</w:t>
      </w:r>
    </w:p>
    <w:p w14:paraId="5FDF3C40">
      <w:pPr>
        <w:ind w:firstLine="632" w:firstLineChars="200"/>
        <w:rPr>
          <w:rFonts w:ascii="Times New Roman" w:hAnsi="Times New Roman" w:cs="仿宋_GB2312"/>
          <w:sz w:val="32"/>
          <w:szCs w:val="32"/>
        </w:rPr>
      </w:pPr>
      <w:r>
        <w:rPr>
          <w:rFonts w:hint="eastAsia" w:ascii="Times New Roman" w:hAnsi="Times New Roman" w:cs="仿宋_GB2312"/>
          <w:sz w:val="32"/>
          <w:szCs w:val="32"/>
        </w:rPr>
        <w:t>保护措施应当包括不可移动文物的保护规划、修缮、安全、利用、保护设施、环境整治等内容。</w:t>
      </w:r>
    </w:p>
    <w:p w14:paraId="6A525F5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纳入旅游发展规划或者旅游线路的不可移动文物，应当按照不可移动文物的保护措施进行有效保护和合理利用。</w:t>
      </w:r>
    </w:p>
    <w:p w14:paraId="444BCB5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国有文物保护单位应当在妥善保护的前提下，依法向社会开放。</w:t>
      </w:r>
    </w:p>
    <w:p w14:paraId="5ADF4702">
      <w:pPr>
        <w:ind w:firstLine="632" w:firstLineChars="200"/>
        <w:rPr>
          <w:rFonts w:ascii="Times New Roman" w:hAnsi="Times New Roman" w:cs="仿宋_GB2312"/>
          <w:sz w:val="32"/>
          <w:szCs w:val="32"/>
        </w:rPr>
      </w:pPr>
      <w:r>
        <w:rPr>
          <w:rFonts w:hint="eastAsia" w:ascii="Times New Roman" w:hAnsi="Times New Roman" w:cs="仿宋_GB2312"/>
          <w:sz w:val="32"/>
          <w:szCs w:val="32"/>
        </w:rPr>
        <w:t>国有不可移动文物不得转让、抵押。建立博物馆、保管所或者辟为参观游览场所的国有文物保护单位，不得作为企业资产经营。</w:t>
      </w:r>
    </w:p>
    <w:p w14:paraId="71E794F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任何单位和个人发现有危害文物保护单位安全或者破坏其历史风貌的，应当向县级以上人民政府文物行政主管部门举报。县级以上人民政府文物行政主管部门应当先采取相应措施，并于发现或者接到举报之日起5日内，将情况报告有处理权的县级以上人民政府。</w:t>
      </w:r>
    </w:p>
    <w:p w14:paraId="0247D58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不可移动文物的所有人、使用人或者管理人，应当与县级人民政府文物行政主管部门签订防火、防爆、防盗、防其他责任事故的文物安全责任书；不可移动文物的所有人、使用人或者管理人发生改变的，应当重新签订。</w:t>
      </w:r>
    </w:p>
    <w:p w14:paraId="25317DBE">
      <w:pPr>
        <w:ind w:firstLine="632" w:firstLineChars="200"/>
        <w:rPr>
          <w:rFonts w:ascii="Times New Roman" w:hAnsi="Times New Roman" w:cs="仿宋_GB2312"/>
          <w:sz w:val="32"/>
          <w:szCs w:val="32"/>
        </w:rPr>
      </w:pPr>
      <w:r>
        <w:rPr>
          <w:rFonts w:hint="eastAsia" w:ascii="Times New Roman" w:hAnsi="Times New Roman" w:cs="仿宋_GB2312"/>
          <w:sz w:val="32"/>
          <w:szCs w:val="32"/>
        </w:rPr>
        <w:t>文物安全责任书由省人民政府文物行政主管部门会同公安等有关部门统一制作。</w:t>
      </w:r>
    </w:p>
    <w:p w14:paraId="7FA239F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不可移动文物的所有人、使用人或者管理人，应当加强火源、电源的管理，配备必要的灭火、避雷设施。在重点要害部位应当安装自动报警、灭火、避雷等设施。安装、使用设施不得对不可移动文物造成损坏。</w:t>
      </w:r>
    </w:p>
    <w:p w14:paraId="302C7981">
      <w:pPr>
        <w:ind w:firstLine="632" w:firstLineChars="200"/>
        <w:rPr>
          <w:rFonts w:ascii="Times New Roman" w:hAnsi="Times New Roman" w:cs="仿宋_GB2312"/>
          <w:sz w:val="32"/>
          <w:szCs w:val="32"/>
        </w:rPr>
      </w:pPr>
      <w:r>
        <w:rPr>
          <w:rFonts w:hint="eastAsia" w:ascii="Times New Roman" w:hAnsi="Times New Roman" w:cs="仿宋_GB2312"/>
          <w:sz w:val="32"/>
          <w:szCs w:val="32"/>
        </w:rPr>
        <w:t>发生危害文物安全的险情时，不可移动文物的所有人、使用人或者管理人应当立即采取救护措施，并在24小时内向县级以上人民政府文物行政主管部门报告。</w:t>
      </w:r>
    </w:p>
    <w:p w14:paraId="71AA014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不可移动文物应当妥善保养，受到损坏的，应当按照县级以上人民政府文物行政主管部门批准的修缮方案进行修缮；变更已经批准的修缮方案，必须报原审批的部门批准。</w:t>
      </w:r>
    </w:p>
    <w:p w14:paraId="568737B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省人民政府文物行政主管部门负责组织实施大型基本建设工程选址范围内的文物保护。建设单位在进行大型基本建设工程前，应当报请省人民政府文物行政主管部门组织具有相应资质的文物保护单位在工程占地范围内进行文物调查。省人民政府文物行政主管部门应当根据文物保护要求，对发现的文物应当委托具有相应资质的文物保护单位提出文物保护方案，并会同建设单位共同商定保护措施。建设单位应当将保护措施列入建设工程规划。</w:t>
      </w:r>
    </w:p>
    <w:p w14:paraId="59D352CD">
      <w:pPr>
        <w:ind w:firstLine="632" w:firstLineChars="200"/>
        <w:rPr>
          <w:rFonts w:ascii="Times New Roman" w:hAnsi="Times New Roman" w:cs="仿宋_GB2312"/>
          <w:sz w:val="32"/>
          <w:szCs w:val="32"/>
        </w:rPr>
      </w:pPr>
      <w:r>
        <w:rPr>
          <w:rFonts w:hint="eastAsia" w:ascii="Times New Roman" w:hAnsi="Times New Roman" w:cs="仿宋_GB2312"/>
          <w:sz w:val="32"/>
          <w:szCs w:val="32"/>
        </w:rPr>
        <w:t>基本建设和生产建设中进行的文物调查、勘探、考古发掘所需的经费，由建设单位列入建设工程预算。</w:t>
      </w:r>
    </w:p>
    <w:p w14:paraId="7DCA168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建设工程因特殊情况确实不能避开不可移动文物，需要实施原址保护的，建设单位应当事先委托具有相应资质的文物保护单位进行勘察研究，并与规划行政主管部门协商提出原址保护的意见书。建设单位应当根据意见书确定保护措施，并根据文物保护单位的级别报相应的文物行政主管部门批准。</w:t>
      </w:r>
    </w:p>
    <w:p w14:paraId="5D556E8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国有文物收藏单位应当建立购买、征集、移交、接受捐赠、拣选文物的入藏、保管及定期核查制度，并报主管的文物行政主管部门备案。</w:t>
      </w:r>
    </w:p>
    <w:p w14:paraId="76F54470">
      <w:pPr>
        <w:ind w:firstLine="632" w:firstLineChars="200"/>
        <w:rPr>
          <w:rFonts w:ascii="Times New Roman" w:hAnsi="Times New Roman" w:cs="仿宋_GB2312"/>
          <w:sz w:val="32"/>
          <w:szCs w:val="32"/>
        </w:rPr>
      </w:pPr>
      <w:r>
        <w:rPr>
          <w:rFonts w:hint="eastAsia" w:ascii="Times New Roman" w:hAnsi="Times New Roman" w:cs="仿宋_GB2312"/>
          <w:sz w:val="32"/>
          <w:szCs w:val="32"/>
        </w:rPr>
        <w:t>不具备收藏珍贵文物条件的国有文物收藏单位，省人民政府文物行政主管部门可以指定具备收藏条件的国有文物收藏单位代为保管其收藏的珍贵文物。</w:t>
      </w:r>
    </w:p>
    <w:p w14:paraId="54945AE3">
      <w:pPr>
        <w:ind w:firstLine="632" w:firstLineChars="200"/>
        <w:rPr>
          <w:rFonts w:ascii="Times New Roman" w:hAnsi="Times New Roman" w:cs="仿宋_GB2312"/>
          <w:sz w:val="32"/>
          <w:szCs w:val="32"/>
        </w:rPr>
      </w:pPr>
      <w:r>
        <w:rPr>
          <w:rFonts w:hint="eastAsia" w:ascii="Times New Roman" w:hAnsi="Times New Roman" w:cs="仿宋_GB2312"/>
          <w:sz w:val="32"/>
          <w:szCs w:val="32"/>
        </w:rPr>
        <w:t>非国有文物收藏单位收藏国有文物的，应当具备收藏国有文物的条件，并根据收藏的国有文物等级建立档案，建立健全保管制度，报县级以上人民政府文物行政主管部门备案。</w:t>
      </w:r>
    </w:p>
    <w:p w14:paraId="69A9EA6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文物复制品应当有表明复制的标识。</w:t>
      </w:r>
    </w:p>
    <w:p w14:paraId="1718790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文物商店销售的文物，在销售前应当经省人民政府文物行政主管部门审核同意，并加贴审核标识。</w:t>
      </w:r>
    </w:p>
    <w:p w14:paraId="024D3FC3">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任何单位和个人不得伪造、涂改文物审核标识。</w:t>
      </w:r>
    </w:p>
    <w:p w14:paraId="232D911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依法设立的拍卖企业经营文物拍卖的，应当取得省人民政府文物行政主管部门颁发的文物拍卖许可证。省人民政府文物行政主管部门依法对文物拍卖许可进行审批和监督管理，审批事项结果向国务院文物行政主管部门备案。</w:t>
      </w:r>
    </w:p>
    <w:p w14:paraId="3FA0B8A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拍卖企业拍卖文物前，应当报省人民政府文物行政主管部门审核，并提供下列材料：</w:t>
      </w:r>
    </w:p>
    <w:p w14:paraId="11693707">
      <w:pPr>
        <w:ind w:firstLine="632" w:firstLineChars="200"/>
        <w:rPr>
          <w:rFonts w:ascii="Times New Roman" w:hAnsi="Times New Roman" w:cs="仿宋_GB2312"/>
          <w:sz w:val="32"/>
          <w:szCs w:val="32"/>
        </w:rPr>
      </w:pPr>
      <w:r>
        <w:rPr>
          <w:rFonts w:hint="eastAsia" w:ascii="Times New Roman" w:hAnsi="Times New Roman" w:cs="仿宋_GB2312"/>
          <w:sz w:val="32"/>
          <w:szCs w:val="32"/>
        </w:rPr>
        <w:t>（一）拟拍卖文物的名称；</w:t>
      </w:r>
    </w:p>
    <w:p w14:paraId="78EEC6A5">
      <w:pPr>
        <w:ind w:firstLine="632" w:firstLineChars="200"/>
        <w:rPr>
          <w:rFonts w:ascii="Times New Roman" w:hAnsi="Times New Roman" w:cs="仿宋_GB2312"/>
          <w:sz w:val="32"/>
          <w:szCs w:val="32"/>
        </w:rPr>
      </w:pPr>
      <w:r>
        <w:rPr>
          <w:rFonts w:hint="eastAsia" w:ascii="Times New Roman" w:hAnsi="Times New Roman" w:cs="仿宋_GB2312"/>
          <w:sz w:val="32"/>
          <w:szCs w:val="32"/>
        </w:rPr>
        <w:t>（二）拟拍卖文物的图录；</w:t>
      </w:r>
    </w:p>
    <w:p w14:paraId="15046477">
      <w:pPr>
        <w:ind w:firstLine="632" w:firstLineChars="200"/>
        <w:rPr>
          <w:rFonts w:ascii="Times New Roman" w:hAnsi="Times New Roman" w:cs="仿宋_GB2312"/>
          <w:sz w:val="32"/>
          <w:szCs w:val="32"/>
        </w:rPr>
      </w:pPr>
      <w:r>
        <w:rPr>
          <w:rFonts w:hint="eastAsia" w:ascii="Times New Roman" w:hAnsi="Times New Roman" w:cs="仿宋_GB2312"/>
          <w:sz w:val="32"/>
          <w:szCs w:val="32"/>
        </w:rPr>
        <w:t>（三）拟拍卖文物的来源说明；</w:t>
      </w:r>
    </w:p>
    <w:p w14:paraId="468B9816">
      <w:pPr>
        <w:ind w:firstLine="632" w:firstLineChars="200"/>
        <w:rPr>
          <w:rFonts w:ascii="Times New Roman" w:hAnsi="Times New Roman" w:cs="仿宋_GB2312"/>
          <w:sz w:val="32"/>
          <w:szCs w:val="32"/>
        </w:rPr>
      </w:pPr>
      <w:r>
        <w:rPr>
          <w:rFonts w:hint="eastAsia" w:ascii="Times New Roman" w:hAnsi="Times New Roman" w:cs="仿宋_GB2312"/>
          <w:sz w:val="32"/>
          <w:szCs w:val="32"/>
        </w:rPr>
        <w:t>（四）委托人姓名或者名称、住所及有效身份证件号码或者有效证照号码。</w:t>
      </w:r>
    </w:p>
    <w:p w14:paraId="48C3635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省人民政府文物行政主管部门审核拟拍卖的文物，应当征求有关文物鉴定专业机构或者专家的意见，并自收到申请之日起20日内提出审核意见。对符合国家规定的拍卖条件的，应当作出审核同意的书面决定，并在拍卖公告发布日15日前，将拟拍卖的文物的资料及审核意见报国务院文物行政主管部门备案；对不符合国家规定的拍卖条件的，应当作出不同意的书面决定，并说明理由。</w:t>
      </w:r>
    </w:p>
    <w:p w14:paraId="61AF0B52">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省人民政府文物行政主管部门审核拟拍卖的文物，不能确定是否可以拍卖的，应当自收到申请之日起20日内报国务院文物行政主管部门审核。</w:t>
      </w:r>
    </w:p>
    <w:p w14:paraId="5E57E8E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违反本条例规定，有下列行为之一，尚不构成犯罪的，由县级以上人民政府文物行政主管部门责令改正；对个人可处以2000元以下罚款，对单位可处以2000元以上2万元以下罚款；并对直接负责的主管人员和其他直接责任人员，依法给予行政处分：</w:t>
      </w:r>
    </w:p>
    <w:p w14:paraId="632FF974">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（一）未按照规定配备必要的灭火、避雷设施的；</w:t>
      </w:r>
    </w:p>
    <w:p w14:paraId="6CBF5697">
      <w:pPr>
        <w:ind w:firstLine="632" w:firstLineChars="200"/>
        <w:rPr>
          <w:rFonts w:ascii="Times New Roman" w:hAnsi="Times New Roman" w:cs="仿宋_GB2312"/>
          <w:sz w:val="32"/>
          <w:szCs w:val="32"/>
        </w:rPr>
      </w:pPr>
      <w:r>
        <w:rPr>
          <w:rFonts w:hint="eastAsia" w:ascii="Times New Roman" w:hAnsi="Times New Roman" w:cs="仿宋_GB2312"/>
          <w:sz w:val="32"/>
          <w:szCs w:val="32"/>
        </w:rPr>
        <w:t>（二）安装、使用自动报警、灭火、避雷等设施对不可移动文物造成损坏的；</w:t>
      </w:r>
    </w:p>
    <w:p w14:paraId="69660EB5">
      <w:pPr>
        <w:ind w:firstLine="632" w:firstLineChars="200"/>
        <w:rPr>
          <w:rFonts w:ascii="Times New Roman" w:hAnsi="Times New Roman" w:cs="仿宋_GB2312"/>
          <w:sz w:val="32"/>
          <w:szCs w:val="32"/>
        </w:rPr>
      </w:pPr>
      <w:r>
        <w:rPr>
          <w:rFonts w:hint="eastAsia" w:ascii="Times New Roman" w:hAnsi="Times New Roman" w:cs="仿宋_GB2312"/>
          <w:sz w:val="32"/>
          <w:szCs w:val="32"/>
        </w:rPr>
        <w:t>（三）发生危害文物安全的险情，未立即采取救护措施，或者未在24小时内向县级以上人民政府文物行政主管部门报告的。</w:t>
      </w:r>
    </w:p>
    <w:p w14:paraId="2268AAB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违反本条例规定，有下列行为之一，尚不构成犯罪的，由县级以上人民政府文物行政主管部门责令改正；造成严重后果的，处以5万元以上50万元以下罚款：</w:t>
      </w:r>
    </w:p>
    <w:p w14:paraId="40D85332">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（一）未经批准或者擅自变更已获得批准的文物修缮方案修缮不可移动文物的；</w:t>
      </w:r>
    </w:p>
    <w:p w14:paraId="22427BC8">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（二）对不可移动文物实施原址保护时，建设单位未事先委托具有相应资质的文物保护单位进行勘察研究，确定文物保护措施的；</w:t>
      </w:r>
    </w:p>
    <w:p w14:paraId="353AA7B8">
      <w:pPr>
        <w:ind w:firstLine="632" w:firstLineChars="200"/>
        <w:rPr>
          <w:rFonts w:ascii="Times New Roman" w:hAnsi="Times New Roman" w:cs="仿宋_GB2312"/>
          <w:sz w:val="32"/>
          <w:szCs w:val="32"/>
        </w:rPr>
      </w:pPr>
      <w:r>
        <w:rPr>
          <w:rFonts w:hint="eastAsia" w:ascii="Times New Roman" w:hAnsi="Times New Roman" w:cs="仿宋_GB2312"/>
          <w:sz w:val="32"/>
          <w:szCs w:val="32"/>
        </w:rPr>
        <w:t>（三）建设单位在进行大型基本建设工程前，未报请省人民政府文物行政主管部门组织进行文物调查的。</w:t>
      </w:r>
    </w:p>
    <w:p w14:paraId="11D023D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违反本条例第二十一条的规定，伪造、涂改文物审核标识的，由省人民政府文物行政主管部门责令改正，可处以5000元以上5万元以下罚款。</w:t>
      </w:r>
    </w:p>
    <w:p w14:paraId="5ECB280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文物行政主管部门、其他有关行政部门及其工作人员，违反本条例规定，滥用审批权限、不依法履行监督管理职责、发现违法行为不予查处，或者接到危害文物安全的险情报告不立即采取救护措施，尚不构成犯罪的，对直接负责的主管人员和其他直接责任人员依法给予行政处分。</w:t>
      </w:r>
    </w:p>
    <w:p w14:paraId="343E118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违反本条例规定，有关法律、法规另有处罚规定的，从其规定。</w:t>
      </w:r>
    </w:p>
    <w:p w14:paraId="05E5BAA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本条例自2005年11月1日起施行。1986年9月3日贵州省第六届人民代表大会常务委员会第二十次会议通过的《贵州省文</w:t>
      </w:r>
      <w:bookmarkStart w:id="0" w:name="_GoBack"/>
      <w:bookmarkEnd w:id="0"/>
      <w:r>
        <w:rPr>
          <w:rFonts w:hint="eastAsia" w:ascii="Times New Roman" w:hAnsi="Times New Roman" w:cs="仿宋_GB2312"/>
          <w:sz w:val="32"/>
          <w:szCs w:val="32"/>
        </w:rPr>
        <w:t>物保护管理办法》同时废止。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ONOR Sans CN">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2Y5NzIzMDFlZjAyY2Q4Njk5ODkyYjFjNzBi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6750224"/>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4043</Words>
  <Characters>4082</Characters>
  <Lines>87</Lines>
  <Paragraphs>24</Paragraphs>
  <TotalTime>9</TotalTime>
  <ScaleCrop>false</ScaleCrop>
  <LinksUpToDate>false</LinksUpToDate>
  <CharactersWithSpaces>4115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2024-11-14T07:28:55Z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16D0000648D043A49357D328A2483644_13</vt:lpwstr>
  </property>
  <property fmtid="{D5CDD505-2E9C-101B-9397-08002B2CF9AE}" pid="3" name="KSOProductBuildVer">
    <vt:lpwstr>2052-12.1.0.18608</vt:lpwstr>
  </property>
</Properties>
</file>