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01D" w:rsidRPr="00674EF6" w:rsidRDefault="0011001D" w:rsidP="00674EF6">
      <w:pPr>
        <w:pStyle w:val="a3"/>
        <w:spacing w:line="576" w:lineRule="exact"/>
        <w:rPr>
          <w:color w:val="000000" w:themeColor="text1"/>
        </w:rPr>
      </w:pPr>
    </w:p>
    <w:p w:rsidR="0011001D" w:rsidRPr="00674EF6" w:rsidRDefault="0011001D" w:rsidP="00674EF6">
      <w:pPr>
        <w:pStyle w:val="a3"/>
        <w:spacing w:line="576" w:lineRule="exact"/>
        <w:rPr>
          <w:color w:val="000000" w:themeColor="text1"/>
        </w:rPr>
      </w:pPr>
    </w:p>
    <w:p w:rsidR="005A103D" w:rsidRPr="006D7EFF" w:rsidRDefault="005A103D" w:rsidP="00674EF6">
      <w:pPr>
        <w:snapToGrid w:val="0"/>
        <w:spacing w:line="576" w:lineRule="exact"/>
        <w:ind w:firstLineChars="0" w:firstLine="0"/>
        <w:jc w:val="center"/>
        <w:rPr>
          <w:rFonts w:asciiTheme="majorEastAsia" w:eastAsiaTheme="majorEastAsia" w:hAnsiTheme="majorEastAsia" w:cs="宋体"/>
          <w:bCs/>
          <w:color w:val="000000" w:themeColor="text1"/>
          <w:kern w:val="0"/>
          <w:sz w:val="44"/>
          <w:szCs w:val="44"/>
        </w:rPr>
      </w:pPr>
      <w:r w:rsidRPr="006D7EFF">
        <w:rPr>
          <w:rFonts w:asciiTheme="majorEastAsia" w:eastAsiaTheme="majorEastAsia" w:hAnsiTheme="majorEastAsia" w:cs="宋体" w:hint="eastAsia"/>
          <w:bCs/>
          <w:color w:val="000000" w:themeColor="text1"/>
          <w:kern w:val="0"/>
          <w:sz w:val="44"/>
          <w:szCs w:val="44"/>
        </w:rPr>
        <w:t>眉山市文明行为</w:t>
      </w:r>
      <w:bookmarkStart w:id="0" w:name="_GoBack"/>
      <w:bookmarkEnd w:id="0"/>
      <w:r w:rsidRPr="006D7EFF">
        <w:rPr>
          <w:rFonts w:asciiTheme="majorEastAsia" w:eastAsiaTheme="majorEastAsia" w:hAnsiTheme="majorEastAsia" w:cs="宋体" w:hint="eastAsia"/>
          <w:bCs/>
          <w:color w:val="000000" w:themeColor="text1"/>
          <w:kern w:val="0"/>
          <w:sz w:val="44"/>
          <w:szCs w:val="44"/>
        </w:rPr>
        <w:t>促进条例</w:t>
      </w:r>
    </w:p>
    <w:p w:rsidR="005A103D" w:rsidRPr="006D7EFF" w:rsidRDefault="005A103D" w:rsidP="00674EF6">
      <w:pPr>
        <w:tabs>
          <w:tab w:val="left" w:pos="8931"/>
        </w:tabs>
        <w:overflowPunct w:val="0"/>
        <w:topLinePunct/>
        <w:adjustRightInd w:val="0"/>
        <w:snapToGrid w:val="0"/>
        <w:spacing w:line="576" w:lineRule="exact"/>
        <w:ind w:rightChars="-9" w:right="-29" w:firstLineChars="0" w:firstLine="0"/>
        <w:jc w:val="left"/>
        <w:rPr>
          <w:rFonts w:ascii="黑体" w:eastAsia="黑体" w:hAnsi="黑体" w:cs="黑体"/>
          <w:bCs/>
          <w:color w:val="000000" w:themeColor="text1"/>
          <w:szCs w:val="32"/>
        </w:rPr>
      </w:pPr>
    </w:p>
    <w:p w:rsidR="005A103D" w:rsidRPr="006D7EFF" w:rsidRDefault="005A103D" w:rsidP="00674EF6">
      <w:pPr>
        <w:tabs>
          <w:tab w:val="left" w:pos="8931"/>
        </w:tabs>
        <w:overflowPunct w:val="0"/>
        <w:topLinePunct/>
        <w:adjustRightInd w:val="0"/>
        <w:snapToGrid w:val="0"/>
        <w:spacing w:line="576" w:lineRule="exact"/>
        <w:ind w:leftChars="300" w:left="960" w:rightChars="300" w:right="960" w:firstLineChars="0" w:firstLine="0"/>
        <w:rPr>
          <w:rFonts w:ascii="楷体_GB2312" w:eastAsia="楷体_GB2312"/>
          <w:bCs/>
          <w:color w:val="000000" w:themeColor="text1"/>
          <w:szCs w:val="32"/>
        </w:rPr>
      </w:pPr>
      <w:r w:rsidRPr="006D7EFF">
        <w:rPr>
          <w:rFonts w:ascii="楷体_GB2312" w:eastAsia="楷体_GB2312" w:hint="eastAsia"/>
          <w:bCs/>
          <w:color w:val="000000" w:themeColor="text1"/>
          <w:szCs w:val="32"/>
        </w:rPr>
        <w:t>（2020年6月30日眉山市第四届人民代表大会常务委员会第三十次会议通过  2020年7月31日四川省第十三届人民代表大会常务委员会第二十次会议批准）</w:t>
      </w:r>
    </w:p>
    <w:p w:rsidR="005A103D" w:rsidRPr="00674EF6" w:rsidRDefault="005A103D" w:rsidP="00674EF6">
      <w:pPr>
        <w:overflowPunct w:val="0"/>
        <w:topLinePunct/>
        <w:adjustRightInd w:val="0"/>
        <w:snapToGrid w:val="0"/>
        <w:spacing w:line="576" w:lineRule="exact"/>
        <w:ind w:rightChars="300" w:right="960" w:firstLineChars="0" w:firstLine="0"/>
        <w:jc w:val="left"/>
        <w:rPr>
          <w:rFonts w:eastAsia="楷体_GB2312"/>
          <w:bCs/>
          <w:color w:val="000000" w:themeColor="text1"/>
          <w:szCs w:val="32"/>
        </w:rPr>
      </w:pPr>
    </w:p>
    <w:p w:rsidR="005A103D" w:rsidRPr="00674EF6" w:rsidRDefault="005A103D" w:rsidP="00674EF6">
      <w:pPr>
        <w:spacing w:line="576" w:lineRule="exact"/>
        <w:ind w:firstLine="640"/>
        <w:jc w:val="center"/>
        <w:rPr>
          <w:rFonts w:eastAsia="黑体"/>
          <w:bCs/>
          <w:color w:val="000000" w:themeColor="text1"/>
          <w:szCs w:val="32"/>
        </w:rPr>
      </w:pPr>
      <w:r w:rsidRPr="00674EF6">
        <w:rPr>
          <w:rFonts w:eastAsia="黑体" w:hint="eastAsia"/>
          <w:bCs/>
          <w:color w:val="000000" w:themeColor="text1"/>
          <w:szCs w:val="32"/>
        </w:rPr>
        <w:t>第一章</w:t>
      </w:r>
      <w:r w:rsidRPr="00674EF6">
        <w:rPr>
          <w:rFonts w:ascii="黑体" w:eastAsia="黑体" w:hAnsi="黑体" w:cs="黑体" w:hint="eastAsia"/>
          <w:bCs/>
          <w:color w:val="000000" w:themeColor="text1"/>
          <w:szCs w:val="32"/>
        </w:rPr>
        <w:t xml:space="preserve">  </w:t>
      </w:r>
      <w:r w:rsidRPr="00674EF6">
        <w:rPr>
          <w:rFonts w:eastAsia="黑体" w:hint="eastAsia"/>
          <w:bCs/>
          <w:color w:val="000000" w:themeColor="text1"/>
          <w:szCs w:val="32"/>
        </w:rPr>
        <w:t>总</w:t>
      </w:r>
      <w:r w:rsidRPr="00674EF6">
        <w:rPr>
          <w:rFonts w:eastAsia="黑体"/>
          <w:bCs/>
          <w:color w:val="000000" w:themeColor="text1"/>
          <w:szCs w:val="32"/>
        </w:rPr>
        <w:t xml:space="preserve">  </w:t>
      </w:r>
      <w:r w:rsidRPr="00674EF6">
        <w:rPr>
          <w:rFonts w:eastAsia="黑体" w:hint="eastAsia"/>
          <w:bCs/>
          <w:color w:val="000000" w:themeColor="text1"/>
          <w:szCs w:val="32"/>
        </w:rPr>
        <w:t>则</w:t>
      </w:r>
    </w:p>
    <w:p w:rsidR="005A103D" w:rsidRPr="00674EF6" w:rsidRDefault="005A103D" w:rsidP="00674EF6">
      <w:pPr>
        <w:spacing w:line="576" w:lineRule="exact"/>
        <w:ind w:firstLine="640"/>
        <w:jc w:val="center"/>
        <w:rPr>
          <w:rFonts w:eastAsia="黑体"/>
          <w:bCs/>
          <w:color w:val="000000" w:themeColor="text1"/>
          <w:szCs w:val="32"/>
        </w:rPr>
      </w:pP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黑体" w:eastAsia="黑体" w:hAnsi="黑体" w:cs="黑体" w:hint="eastAsia"/>
          <w:bCs/>
          <w:color w:val="000000" w:themeColor="text1"/>
          <w:szCs w:val="32"/>
        </w:rPr>
        <w:t>第一条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为了引导和促进文明行为，提高文明行为促进工作保障水平，提升公民文明素养和社会文明程度，加强公民道德建设和爱国主义教育，</w:t>
      </w:r>
      <w:proofErr w:type="gramStart"/>
      <w:r w:rsidRPr="00674EF6">
        <w:rPr>
          <w:rFonts w:ascii="仿宋_GB2312" w:eastAsia="仿宋_GB2312" w:hAnsi="仿宋_GB2312" w:cs="仿宋_GB2312" w:hint="eastAsia"/>
          <w:bCs/>
          <w:color w:val="000000" w:themeColor="text1"/>
          <w:szCs w:val="32"/>
        </w:rPr>
        <w:t>践行</w:t>
      </w:r>
      <w:proofErr w:type="gramEnd"/>
      <w:r w:rsidRPr="00674EF6">
        <w:rPr>
          <w:rFonts w:ascii="仿宋_GB2312" w:eastAsia="仿宋_GB2312" w:hAnsi="仿宋_GB2312" w:cs="仿宋_GB2312" w:hint="eastAsia"/>
          <w:bCs/>
          <w:color w:val="000000" w:themeColor="text1"/>
          <w:szCs w:val="32"/>
        </w:rPr>
        <w:t>社会主义核心价值观，根据有关法律、法规，结合眉山市实际，制定本条例。</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黑体" w:eastAsia="黑体" w:hAnsi="黑体" w:cs="黑体" w:hint="eastAsia"/>
          <w:bCs/>
          <w:color w:val="000000" w:themeColor="text1"/>
          <w:szCs w:val="32"/>
        </w:rPr>
        <w:t>第二条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本条例适用于眉山市行政区域内文明行为促进及其相关工作。</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黑体" w:eastAsia="黑体" w:hAnsi="黑体" w:cs="黑体" w:hint="eastAsia"/>
          <w:bCs/>
          <w:color w:val="000000" w:themeColor="text1"/>
          <w:szCs w:val="32"/>
        </w:rPr>
        <w:t>第三条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文明行为促进工作坚持党委领导、政府负责、社会参与，法治与德治相结合，倡导与规范相结合，奖励与惩戒相结合的原则。</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第四条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市、区县精神文明建设委员会统一领导本区域内的文明行为促进工作，研究解决文明行为促进工作的重大问题。</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仿宋_GB2312" w:eastAsia="仿宋_GB2312" w:hAnsi="仿宋_GB2312" w:cs="仿宋_GB2312" w:hint="eastAsia"/>
          <w:bCs/>
          <w:color w:val="000000" w:themeColor="text1"/>
          <w:szCs w:val="32"/>
        </w:rPr>
        <w:lastRenderedPageBreak/>
        <w:t>市、区县人民政府应当将文明行为促进工作纳入国民经济和社会发展规划，所需经费列入财政预算。</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黑体" w:eastAsia="黑体" w:hAnsi="黑体" w:cs="黑体" w:hint="eastAsia"/>
          <w:bCs/>
          <w:color w:val="000000" w:themeColor="text1"/>
          <w:szCs w:val="32"/>
        </w:rPr>
        <w:t>第五条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市、区县精神文明建设工作机构具体负责本区域内文明行为促进工作的指导、协调、监督、评估等工作。</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黑体" w:eastAsia="黑体" w:hAnsi="黑体" w:cs="黑体" w:hint="eastAsia"/>
          <w:bCs/>
          <w:color w:val="000000" w:themeColor="text1"/>
          <w:szCs w:val="32"/>
        </w:rPr>
        <w:t>第六条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市、区县人民政府相关工作部门应当按照各自职责，做好文明行为促进工作。</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依法设立的城市新区、园区管理机构应当在各自职责范围内做好文明行为促进工作。</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乡镇人民政府、街道办事处应当做好本辖区文明行为促进工作。</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仿宋_GB2312" w:eastAsia="仿宋_GB2312" w:hAnsi="仿宋_GB2312" w:cs="仿宋_GB2312" w:hint="eastAsia"/>
          <w:bCs/>
          <w:color w:val="000000" w:themeColor="text1"/>
          <w:szCs w:val="32"/>
        </w:rPr>
        <w:t>村民委员会、居民委员会应当加强文明行为宣传和引导，协助做好文明行为促进工作。</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第七条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国家机关、企事业单位、社会团体、其他组织应当积极参与文明行为促进工作。</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公民应当自觉遵守市民文明公约、村规民约、居民公约、业主公约、学生守则以及其他文明行为规范，尊重公序良俗，积极参与文明行为促进工作。</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国家工作人员、先进模范人物、社会公众人物、教育工作者等应当在文明行为促进工作中发挥表率和示范作用。</w:t>
      </w:r>
    </w:p>
    <w:p w:rsidR="005A103D" w:rsidRPr="00674EF6" w:rsidRDefault="005A103D" w:rsidP="00674EF6">
      <w:pPr>
        <w:adjustRightInd w:val="0"/>
        <w:snapToGrid w:val="0"/>
        <w:spacing w:line="576" w:lineRule="exact"/>
        <w:ind w:firstLine="640"/>
        <w:rPr>
          <w:bCs/>
          <w:color w:val="000000" w:themeColor="text1"/>
          <w:szCs w:val="32"/>
        </w:rPr>
      </w:pPr>
    </w:p>
    <w:p w:rsidR="005A103D" w:rsidRPr="00674EF6" w:rsidRDefault="005A103D" w:rsidP="00674EF6">
      <w:pPr>
        <w:spacing w:line="576" w:lineRule="exact"/>
        <w:ind w:firstLine="640"/>
        <w:jc w:val="center"/>
        <w:rPr>
          <w:rFonts w:eastAsia="黑体"/>
          <w:bCs/>
          <w:color w:val="000000" w:themeColor="text1"/>
          <w:szCs w:val="32"/>
        </w:rPr>
      </w:pPr>
      <w:r w:rsidRPr="00674EF6">
        <w:rPr>
          <w:rFonts w:eastAsia="黑体" w:hint="eastAsia"/>
          <w:bCs/>
          <w:color w:val="000000" w:themeColor="text1"/>
          <w:szCs w:val="32"/>
        </w:rPr>
        <w:t>第二章</w:t>
      </w:r>
      <w:r w:rsidRPr="00674EF6">
        <w:rPr>
          <w:rFonts w:eastAsia="黑体"/>
          <w:bCs/>
          <w:color w:val="000000" w:themeColor="text1"/>
          <w:szCs w:val="32"/>
        </w:rPr>
        <w:t xml:space="preserve">  </w:t>
      </w:r>
      <w:r w:rsidRPr="00674EF6">
        <w:rPr>
          <w:rFonts w:eastAsia="黑体" w:hint="eastAsia"/>
          <w:bCs/>
          <w:color w:val="000000" w:themeColor="text1"/>
          <w:szCs w:val="32"/>
        </w:rPr>
        <w:t>倡导与规范</w:t>
      </w:r>
    </w:p>
    <w:p w:rsidR="005A103D" w:rsidRPr="00674EF6" w:rsidRDefault="005A103D" w:rsidP="00674EF6">
      <w:pPr>
        <w:spacing w:line="576" w:lineRule="exact"/>
        <w:ind w:firstLine="640"/>
        <w:jc w:val="center"/>
        <w:rPr>
          <w:rFonts w:eastAsia="黑体"/>
          <w:bCs/>
          <w:color w:val="000000" w:themeColor="text1"/>
          <w:szCs w:val="32"/>
        </w:rPr>
      </w:pP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黑体" w:eastAsia="黑体" w:hAnsi="黑体" w:cs="黑体" w:hint="eastAsia"/>
          <w:bCs/>
          <w:color w:val="000000" w:themeColor="text1"/>
          <w:szCs w:val="32"/>
        </w:rPr>
        <w:lastRenderedPageBreak/>
        <w:t>第八条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公民应当</w:t>
      </w:r>
      <w:proofErr w:type="gramStart"/>
      <w:r w:rsidRPr="00674EF6">
        <w:rPr>
          <w:rFonts w:ascii="仿宋_GB2312" w:eastAsia="仿宋_GB2312" w:hAnsi="仿宋_GB2312" w:cs="仿宋_GB2312" w:hint="eastAsia"/>
          <w:bCs/>
          <w:color w:val="000000" w:themeColor="text1"/>
          <w:szCs w:val="32"/>
        </w:rPr>
        <w:t>践行</w:t>
      </w:r>
      <w:proofErr w:type="gramEnd"/>
      <w:r w:rsidRPr="00674EF6">
        <w:rPr>
          <w:rFonts w:ascii="仿宋_GB2312" w:eastAsia="仿宋_GB2312" w:hAnsi="仿宋_GB2312" w:cs="仿宋_GB2312" w:hint="eastAsia"/>
          <w:bCs/>
          <w:color w:val="000000" w:themeColor="text1"/>
          <w:szCs w:val="32"/>
        </w:rPr>
        <w:t>社会主义核心价值观，加强社会公德、职业道德、家庭美德、个人品德建设，弘扬以爱国主义为核心的民族精神和以改革创新为核心的时代精神，推动新时代社会文明进步。</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第九条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鼓励下列行为：</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（一）为东坡文化节等重大节庆活动以及本市承办的国际国内会议、赛事提供志愿服务，为开放发展的城市形象增光添彩。</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（二）参加文明创建、社区共治共享、环境保护、社会治理等各类志愿服务活动。</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（三）参加慈善捐赠、扶贫、助残、救孤、济困以及扶老、助学、助</w:t>
      </w:r>
      <w:proofErr w:type="gramStart"/>
      <w:r w:rsidRPr="00674EF6">
        <w:rPr>
          <w:rFonts w:ascii="仿宋_GB2312" w:eastAsia="仿宋_GB2312" w:hAnsi="仿宋_GB2312" w:cs="仿宋_GB2312" w:hint="eastAsia"/>
          <w:bCs/>
          <w:color w:val="000000" w:themeColor="text1"/>
          <w:szCs w:val="32"/>
        </w:rPr>
        <w:t>医</w:t>
      </w:r>
      <w:proofErr w:type="gramEnd"/>
      <w:r w:rsidRPr="00674EF6">
        <w:rPr>
          <w:rFonts w:ascii="仿宋_GB2312" w:eastAsia="仿宋_GB2312" w:hAnsi="仿宋_GB2312" w:cs="仿宋_GB2312" w:hint="eastAsia"/>
          <w:bCs/>
          <w:color w:val="000000" w:themeColor="text1"/>
          <w:szCs w:val="32"/>
        </w:rPr>
        <w:t>等公益活动。</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（四）实施与自身能力相符的见义勇为行为。</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（五）救助自然灾害、事故灾难和公共卫生事件等突发事件造成的损害。</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（六）参加无偿献血，依法捐献造血干细胞、人体器官（组织）、遗体等活动。</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第十条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倡导下列行为：</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（一）文明举止。遵守公共场所管理规范，衣着得体、言行得当；等候服务依次排队；乘坐电梯先出后进；咳嗽、打喷嚏时遮掩口鼻；患有流行性感冒等传染性呼吸道疾病时佩戴口罩。</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lastRenderedPageBreak/>
        <w:t>（二）文明施教和尊师重教。学校应当坚持立德树人，注重师德师风，培育优良校风，加强中华优秀传统文化教育，传承以东坡文化和忠孝文化为代表的本土优秀文化，加强学生文明行为习惯养成教育和心理健康教育，建设安全文明校园；学生应当学习尊师礼仪，遵守课堂秩序，虚心接受老师教育引导，弘扬尊师重教的传统美德。</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（三）文明行医就医。医院及其医护工作者应当弘扬救死扶伤、治病救人的医德医风，为患者提供优质医疗服务；患者及家属应当遵守医院相关规定，配合诊疗活动，理性表达诉求，依法处理医疗纠纷。</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（四）文明出行。乘坐公共交通工具应当依次排队、有序上下，主动为老弱病残孕以及携带婴幼儿的乘客让座。</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（五）文明婚俗。婚事新办，不攀比铺张，推动移风易俗，抵制陈规陋习。</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（六）文明祭祀。丧事简办，生态安葬；以鲜花、植树、清扫墓碑等方式祭祀。</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（七）文明就餐。遵守就餐礼仪，合理消费、实行分餐制或者使用公筷公勺，爱惜食物，不酗酒喧哗。</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（八）文明持家。培育和传承良好家风，尊敬长辈、孝敬父母、家庭和睦、教子有方、勤俭节约、邻里友善，保持室内外整洁，争创文明家庭。</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（九）文明旅游。遵守旅游规范，爱护文物古迹、风景名</w:t>
      </w:r>
      <w:r w:rsidRPr="00674EF6">
        <w:rPr>
          <w:rFonts w:ascii="仿宋_GB2312" w:eastAsia="仿宋_GB2312" w:hAnsi="仿宋_GB2312" w:cs="仿宋_GB2312" w:hint="eastAsia"/>
          <w:bCs/>
          <w:color w:val="000000" w:themeColor="text1"/>
          <w:szCs w:val="32"/>
        </w:rPr>
        <w:lastRenderedPageBreak/>
        <w:t>胜等旅游资源，爱护景区景点的公共设施、花草树木，尊重当地风俗习惯和文化传统。</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（十）文明上网。抵制虚假信息、低俗淫秽暴力信息；文明理性发表言论，弘扬真善美，引领新风尚，传播正能量。</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（十一）文明观看演出、比赛。遵守场馆管理规定，注重观看礼仪，离场自觉带走垃圾。</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（十二）文明绿色生活。尊重自然、爱护自然，增强生态环保意识，践行简约适度、绿色低碳生活方式；优先选择步行、骑车、乘坐公共交通工具等方式出行；节约使用水、电、气等资源。</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第十一条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公民应当遵守下列行为规范：</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（一）在城市、集镇建成区开展广场舞、打陀螺等健身娱乐活动应当遵守相关管理规定，不得发出超出国家标准的噪声，不得影响正常公共秩序。</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（二）遵守学校、医院、图书馆等噪音敏感建筑物相关环境秩序规定，控制音量、保持安静。</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（三）商铺、摊贩等商业活动经营者应当遵守市容和环境卫生管理规定，保持经营场所、摊点卫生、整洁，不得使用高音广播喇叭或者采用其他发出高噪声的方法招揽顾客。</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（四）使用家用电器、乐器或者进行其他家庭室内娱乐活动时，应当控制音量或者采取其他有效措施，避免干扰周边居民正常生活。</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lastRenderedPageBreak/>
        <w:t>（五）遵守物业管理规定及业主大会的决定，规范车辆停放，不得在绿地、楼道、走廊等公共区域堆放物品。</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（六）遵守消防安全规定，在小区内使用电动车充电装置，应当配合物业服务企业做好安全防范，避免火灾事故。</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（七）保持房前屋后卫生、整洁，按照规定分类投放生活垃圾，及时消除苍蝇、蚊子、老鼠、蟑螂等病媒生物，防止传染病发生。</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（八）按照规定圈养家禽家畜，及时清理畜禽粪便并进行无害化处理。</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（九）遵守森林防火规定，积极参加植树造林活动，保护森林资源。</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（十）遵守禁止吸烟的规定。</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（十一）农村居民应当传承和发扬农村优秀传统文化，遵守村规民约，树立文明乡风，建设美丽宜居乡村。</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第十二条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禁止下列行为：</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（一）随地吐痰、吐口香糖，乱扔烟蒂、纸屑、果皮及食品包装等废弃物，随地便溺。</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（二）在非指定地点倾倒垃圾、污水、粪便等废弃物或者将废弃物扫入、排入城市排水沟、地下管道。</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（三）在建（构）筑物、树木、杆管线、地面以及其他公用设施上涂写、刻画，擅自张贴、悬挂、设置广告、标语、海报、展板等宣传品。</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lastRenderedPageBreak/>
        <w:t>（四）从车辆内或者建（构）筑物上向外抛掷杂物、废弃物。</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（五）在城市、集镇建成区公共区域搭设灵堂，摆放花圈，焚烧冥币、纸钱、纸扎物等祭祀用品。</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（六）驾驶机动车违反规定变道、超车，违反规定使用灯光、喇叭，行经人行横道不减速或者不停车让行，骑乘摩托车不佩戴安全头盔。</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（七）驾驶非机动车不按道路标识行驶，违反规定载人载物，逆行，闯红灯。</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（八）行人过马路不走人行横道，翻越交通隔离护栏，跨越绿化带，闯红灯。</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（九）占用、堵塞、封闭疏散通道、安全出口、消防车通道。</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（十）违反园林绿化管理规定，践踏草坪，损毁花草树木。</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（十一）谩骂、侮辱、殴打医务人员和教职工或者采取暴力、威胁等方式干扰医院、学校正常诊疗、教学秩序。</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（十二）在禁止燃放的时段和区域燃放烟花爆竹。</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（十三）非法交易、滥食野生动物及其制品。</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仿宋_GB2312" w:eastAsia="仿宋_GB2312" w:hAnsi="仿宋_GB2312" w:cs="仿宋_GB2312" w:hint="eastAsia"/>
          <w:bCs/>
          <w:color w:val="000000" w:themeColor="text1"/>
          <w:szCs w:val="32"/>
        </w:rPr>
        <w:t>（十四）法律、法规禁止的其他行为。</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第十三条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互联网租赁车辆经营者应当遵守政府主管部门管理规定，做好车辆日常维护，保持车辆干净整洁，对故障、报废车辆进行维修更换，及时清理乱停车辆。</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lastRenderedPageBreak/>
        <w:t>公民应当爱惜互联网租赁车辆，使用完毕应当停放到划定的停车区域。</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第十四条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电动三轮车、四轮车应当按照规定依法进行登记，取得号牌后方可上道路行驶，行驶时应当遵守交通规则。</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公安交通管理部门应当加强电动三轮车、四轮车交通安全管理，及时查处未办理登记手续的车辆，禁止无牌无证车辆上道路行驶。</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第十五条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在城市、集镇建成区内携带犬只出户应当束犬链（绳）或者装入犬袋、犬笼，采取措施清除犬只排泄物，维护公共环境卫生。</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第十六条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餐饮服务机构应当推广配备公筷公勺或者提供分餐服务。</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商务部门应当指导餐饮行业协会制定配备公筷公勺和提供分餐服务的行业公约，引导餐饮服务机构共同遵守。</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市场监督管理部门应当将配备公筷公勺和提供分餐服务情况纳入日常监督检查，督促餐饮服务机构落实食品安全主体责任。</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仿宋_GB2312" w:eastAsia="仿宋_GB2312" w:hAnsi="仿宋_GB2312" w:cs="仿宋_GB2312" w:hint="eastAsia"/>
          <w:bCs/>
          <w:color w:val="000000" w:themeColor="text1"/>
          <w:szCs w:val="32"/>
        </w:rPr>
        <w:t>文化旅游部门应当组织、督促星级饭店、绿色饭店、特色文化主题酒店配备公筷公勺和提供分餐服务。</w:t>
      </w:r>
    </w:p>
    <w:p w:rsidR="005A103D" w:rsidRPr="00674EF6" w:rsidRDefault="005A103D" w:rsidP="00674EF6">
      <w:pPr>
        <w:spacing w:line="576" w:lineRule="exact"/>
        <w:ind w:firstLine="640"/>
        <w:rPr>
          <w:rFonts w:eastAsia="仿宋_GB2312" w:cs="仿宋_GB2312"/>
          <w:bCs/>
          <w:color w:val="000000" w:themeColor="text1"/>
          <w:szCs w:val="32"/>
        </w:rPr>
      </w:pPr>
    </w:p>
    <w:p w:rsidR="005A103D" w:rsidRPr="00674EF6" w:rsidRDefault="005A103D" w:rsidP="00674EF6">
      <w:pPr>
        <w:spacing w:line="576" w:lineRule="exact"/>
        <w:ind w:firstLine="640"/>
        <w:jc w:val="center"/>
        <w:rPr>
          <w:rFonts w:eastAsia="黑体"/>
          <w:bCs/>
          <w:color w:val="000000" w:themeColor="text1"/>
          <w:szCs w:val="32"/>
        </w:rPr>
      </w:pPr>
      <w:r w:rsidRPr="00674EF6">
        <w:rPr>
          <w:rFonts w:eastAsia="黑体" w:hint="eastAsia"/>
          <w:bCs/>
          <w:color w:val="000000" w:themeColor="text1"/>
          <w:szCs w:val="32"/>
        </w:rPr>
        <w:t>第三章</w:t>
      </w:r>
      <w:r w:rsidRPr="00674EF6">
        <w:rPr>
          <w:rFonts w:eastAsia="黑体"/>
          <w:bCs/>
          <w:color w:val="000000" w:themeColor="text1"/>
          <w:szCs w:val="32"/>
        </w:rPr>
        <w:t xml:space="preserve">  </w:t>
      </w:r>
      <w:r w:rsidRPr="00674EF6">
        <w:rPr>
          <w:rFonts w:eastAsia="黑体" w:hint="eastAsia"/>
          <w:bCs/>
          <w:color w:val="000000" w:themeColor="text1"/>
          <w:szCs w:val="32"/>
        </w:rPr>
        <w:t>保障与促进</w:t>
      </w:r>
    </w:p>
    <w:p w:rsidR="005A103D" w:rsidRPr="00674EF6" w:rsidRDefault="005A103D" w:rsidP="00674EF6">
      <w:pPr>
        <w:spacing w:line="576" w:lineRule="exact"/>
        <w:ind w:firstLine="640"/>
        <w:jc w:val="center"/>
        <w:rPr>
          <w:rFonts w:eastAsia="黑体"/>
          <w:bCs/>
          <w:color w:val="000000" w:themeColor="text1"/>
          <w:szCs w:val="32"/>
        </w:rPr>
      </w:pP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lastRenderedPageBreak/>
        <w:t>第十七条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市、区县人民政府及有关部门、单位应当科学规划、合理布局、建设完善下列设施设备：</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（一）公交站牌、交通标志标线等交通设施；</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（二）人行横道、过街天桥、地下通道、绿化照明、停车泊位、消防等市政设施。</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（三）盲道、坡道、电梯等无障碍设施。</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（四）公共厕所及无障碍卫生间。</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（五）垃圾分类箱等环卫设施。</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（六）广告栏、宣传栏等公益宣传设施。</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（七）行政区划、城镇街巷、居民区、楼、院、自然村等地名标志设施。</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仿宋_GB2312" w:eastAsia="仿宋_GB2312" w:hAnsi="仿宋_GB2312" w:cs="仿宋_GB2312" w:hint="eastAsia"/>
          <w:bCs/>
          <w:color w:val="000000" w:themeColor="text1"/>
          <w:szCs w:val="32"/>
        </w:rPr>
        <w:t>（八）其他与文明行为促进有关的设施。</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黑体" w:eastAsia="黑体" w:hAnsi="黑体" w:cs="黑体" w:hint="eastAsia"/>
          <w:bCs/>
          <w:color w:val="000000" w:themeColor="text1"/>
          <w:szCs w:val="32"/>
        </w:rPr>
        <w:t>第十八条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市、区县人民政府应当建立志愿服务、慈善公益、医学捐献、见义勇为等文明行为的促进保障和激励机制，依法落实相关待遇、政策。</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黑体" w:eastAsia="黑体" w:hAnsi="黑体" w:cs="黑体" w:hint="eastAsia"/>
          <w:bCs/>
          <w:color w:val="000000" w:themeColor="text1"/>
          <w:szCs w:val="32"/>
        </w:rPr>
        <w:t>第十九条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市、区县人民政府应当加强爱国主义教育基地、国防教育基地和革命纪念设施建设保护利用，发挥公共文化场馆、市内公园、广场等公共场所作用，打造荣誉展示、道德宣传教育活动基地。</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第二十条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国家机关、企事业单位、社会团体、其他组织应当制定文明行为规范引导措施和行业文明行为标准，并将文明行为培训纳入任职培训、岗位培训内容。</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lastRenderedPageBreak/>
        <w:t>教育主管部门和教育机构应当开展文明行为教育实践活动，加强师德师风建设，引导教师模范遵守职业道德规范。</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卫生健康主管部门、医疗卫生机构应当加强医护人员职业道德建设，优化服务流程，提升医疗服务，加强医患沟通，改善就医环境。</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政务服务中心等窗口单位应当文明服务，保持卫生整洁、秩序规范。</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第二十一条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市、区县人民政府应当组织开展文明城市、文明村镇、文明单位、文明家庭、文明校园等群众性精神文明创建活动。</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鼓励单位和个人为精神文明创建活动提供场所和便利条件。</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仿宋_GB2312" w:eastAsia="仿宋_GB2312" w:hAnsi="仿宋_GB2312" w:cs="仿宋_GB2312" w:hint="eastAsia"/>
          <w:bCs/>
          <w:color w:val="000000" w:themeColor="text1"/>
          <w:szCs w:val="32"/>
        </w:rPr>
        <w:t>鼓励村民委员会、居民委员会、业主委员会、行业协会等在村规民约、居民公约、管理公约、行业协会章程中纳入文明行为相关内容，引导全体成员共同遵守。</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黑体" w:eastAsia="黑体" w:hAnsi="黑体" w:cs="黑体" w:hint="eastAsia"/>
          <w:bCs/>
          <w:color w:val="000000" w:themeColor="text1"/>
          <w:szCs w:val="32"/>
        </w:rPr>
        <w:t>第二十二条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市精神文明建设工作机构应当指导建立和完善本市新时代文明实践组织体系，整合各级各类公共服务资源。区县、乡镇、街道、村、社区应当建立完善文明实践阵地和志愿服务站点，发展文明实践志愿者队伍，全面开展文明实践活动。</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第二十三条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市、区县精神文明建设工作机构应当组织开展文明行为规范、礼仪的宣传工作，传播文明行为先进事迹。</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仿宋_GB2312" w:eastAsia="仿宋_GB2312" w:hAnsi="仿宋_GB2312" w:cs="仿宋_GB2312" w:hint="eastAsia"/>
          <w:bCs/>
          <w:color w:val="000000" w:themeColor="text1"/>
          <w:szCs w:val="32"/>
        </w:rPr>
        <w:t>新闻媒体应当开办专题宣传栏目和节目，刊播公益广告，</w:t>
      </w:r>
      <w:r w:rsidRPr="00674EF6">
        <w:rPr>
          <w:rFonts w:ascii="仿宋_GB2312" w:eastAsia="仿宋_GB2312" w:hAnsi="仿宋_GB2312" w:cs="仿宋_GB2312" w:hint="eastAsia"/>
          <w:bCs/>
          <w:color w:val="000000" w:themeColor="text1"/>
          <w:szCs w:val="32"/>
        </w:rPr>
        <w:lastRenderedPageBreak/>
        <w:t>加强正面引导，营造全社会鼓励和促进文明行为的氛围。</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第二十四条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国家机关、企事业单位、社会团体、其他组织应当对其工作场所、营业场所或者服务区域范围内的不文明行为予以劝阻、制止；不听劝阻、制止的，应当及时报告有关部门，并协助取证。</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仿宋_GB2312" w:eastAsia="仿宋_GB2312" w:hAnsi="仿宋_GB2312" w:cs="仿宋_GB2312" w:hint="eastAsia"/>
          <w:bCs/>
          <w:color w:val="000000" w:themeColor="text1"/>
          <w:szCs w:val="32"/>
        </w:rPr>
        <w:t>公民有权对不文明行为进行劝阻、制止，并向有关行政主管部门投诉、举报。</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仿宋_GB2312" w:eastAsia="仿宋_GB2312" w:hAnsi="仿宋_GB2312" w:cs="仿宋_GB2312" w:hint="eastAsia"/>
          <w:bCs/>
          <w:color w:val="000000" w:themeColor="text1"/>
          <w:szCs w:val="32"/>
        </w:rPr>
        <w:t>有关行政主管部门应当公开投诉、举报渠道，收到投诉、举报及时依法调查处理并反馈处理结果，对举报人、投诉人的身份信息应当予以保密。</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第二十五条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行政执法部门应当制定和完善岗位文明执法规范，加强执法人员的管理和培训，规范执法行为。执法人员在执法时，应当规范用语，文明执法。</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行政执法部门应当依法公开违法不文明行为的行政执法信息。</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仿宋_GB2312" w:eastAsia="仿宋_GB2312" w:hAnsi="仿宋_GB2312" w:cs="仿宋_GB2312" w:hint="eastAsia"/>
          <w:bCs/>
          <w:color w:val="000000" w:themeColor="text1"/>
          <w:szCs w:val="32"/>
        </w:rPr>
        <w:t>对社会反响强烈、群众反映集中的不文明行为，市、区县精神文明建设工作机构和有关部门可以通过新闻媒体以及其他适当途径依法予以公开。</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第二十六条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市、区县精神文明建设工作机构在开展精神文明建设先进典型评选活动中，应当将文明行为表现情况作为评选标准和推荐条件。</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仿宋_GB2312" w:eastAsia="仿宋_GB2312" w:hAnsi="仿宋_GB2312" w:cs="仿宋_GB2312" w:hint="eastAsia"/>
          <w:bCs/>
          <w:color w:val="000000" w:themeColor="text1"/>
          <w:szCs w:val="32"/>
        </w:rPr>
        <w:t>鼓励机关、企事业单位、社会团体、其他组织对参与文明</w:t>
      </w:r>
      <w:r w:rsidRPr="00674EF6">
        <w:rPr>
          <w:rFonts w:ascii="仿宋_GB2312" w:eastAsia="仿宋_GB2312" w:hAnsi="仿宋_GB2312" w:cs="仿宋_GB2312" w:hint="eastAsia"/>
          <w:bCs/>
          <w:color w:val="000000" w:themeColor="text1"/>
          <w:szCs w:val="32"/>
        </w:rPr>
        <w:lastRenderedPageBreak/>
        <w:t>行为促进工作的职工、会员予以表扬奖励。</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第二十七条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市、区县人民政府应当建立文明行为激励约束机制。</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村民委员会、居民委员会结合实际，建立文明行为记录制度。参加慈善公益、志愿服务等文明行为的记录，可以作为奖励或者享有相应时长公益服务的依据。</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仿宋_GB2312" w:eastAsia="仿宋_GB2312" w:hAnsi="仿宋_GB2312" w:cs="仿宋_GB2312" w:hint="eastAsia"/>
          <w:bCs/>
          <w:color w:val="000000" w:themeColor="text1"/>
          <w:szCs w:val="32"/>
        </w:rPr>
        <w:t>因情节严重、影响恶劣受到行政处罚的不文明行为，纳入信用信息档案管理的，按照国家有关法律、法规执行。</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仿宋_GB2312" w:eastAsia="仿宋_GB2312" w:hAnsi="仿宋_GB2312" w:cs="仿宋_GB2312" w:hint="eastAsia"/>
          <w:bCs/>
          <w:color w:val="000000" w:themeColor="text1"/>
          <w:szCs w:val="32"/>
        </w:rPr>
        <w:t>信用修复，按照有关规定执行。</w:t>
      </w:r>
    </w:p>
    <w:p w:rsidR="005A103D" w:rsidRPr="00674EF6" w:rsidRDefault="005A103D" w:rsidP="00674EF6">
      <w:pPr>
        <w:spacing w:line="576" w:lineRule="exact"/>
        <w:ind w:firstLine="640"/>
        <w:rPr>
          <w:rFonts w:eastAsia="仿宋_GB2312" w:cs="仿宋_GB2312"/>
          <w:bCs/>
          <w:color w:val="000000" w:themeColor="text1"/>
          <w:szCs w:val="32"/>
        </w:rPr>
      </w:pPr>
    </w:p>
    <w:p w:rsidR="005A103D" w:rsidRPr="00674EF6" w:rsidRDefault="005A103D" w:rsidP="00674EF6">
      <w:pPr>
        <w:spacing w:line="576" w:lineRule="exact"/>
        <w:ind w:firstLine="640"/>
        <w:jc w:val="center"/>
        <w:rPr>
          <w:rFonts w:eastAsia="黑体"/>
          <w:bCs/>
          <w:color w:val="000000" w:themeColor="text1"/>
          <w:szCs w:val="32"/>
        </w:rPr>
      </w:pPr>
      <w:r w:rsidRPr="00674EF6">
        <w:rPr>
          <w:rFonts w:eastAsia="黑体" w:hint="eastAsia"/>
          <w:bCs/>
          <w:color w:val="000000" w:themeColor="text1"/>
          <w:szCs w:val="32"/>
        </w:rPr>
        <w:t>第四章</w:t>
      </w:r>
      <w:r w:rsidRPr="00674EF6">
        <w:rPr>
          <w:rFonts w:eastAsia="黑体"/>
          <w:bCs/>
          <w:color w:val="000000" w:themeColor="text1"/>
          <w:szCs w:val="32"/>
        </w:rPr>
        <w:t xml:space="preserve">  </w:t>
      </w:r>
      <w:r w:rsidRPr="00674EF6">
        <w:rPr>
          <w:rFonts w:eastAsia="黑体" w:hint="eastAsia"/>
          <w:bCs/>
          <w:color w:val="000000" w:themeColor="text1"/>
          <w:szCs w:val="32"/>
        </w:rPr>
        <w:t>法律责任</w:t>
      </w:r>
    </w:p>
    <w:p w:rsidR="005A103D" w:rsidRPr="00674EF6" w:rsidRDefault="005A103D" w:rsidP="00674EF6">
      <w:pPr>
        <w:spacing w:line="576" w:lineRule="exact"/>
        <w:ind w:firstLine="640"/>
        <w:jc w:val="center"/>
        <w:rPr>
          <w:rFonts w:eastAsia="黑体"/>
          <w:bCs/>
          <w:color w:val="000000" w:themeColor="text1"/>
          <w:szCs w:val="32"/>
        </w:rPr>
      </w:pP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黑体" w:eastAsia="黑体" w:hAnsi="黑体" w:cs="黑体" w:hint="eastAsia"/>
          <w:bCs/>
          <w:color w:val="000000" w:themeColor="text1"/>
          <w:szCs w:val="32"/>
        </w:rPr>
        <w:t>第二十八条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违反本条例规定的行为，法律、法规已有处罚规定的，从其规定。</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第二十九条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违反本条例第十二条第五项规定焚烧冥币、纸钱、纸扎物等祭祀用品的，由市容环境卫生行政主管部门责令改正；情节严重或者造成严重后果的处五十元以上二百元以下罚款。</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t>第三十条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违反本条例第十五条规定，携带犬只出户不束犬链（绳）或者未装入犬袋、犬笼，干扰他人正常生活的，由公安机关予以警告，责令改正；拒不改正的，处二百元以上五百元以下罚款。</w:t>
      </w:r>
    </w:p>
    <w:p w:rsidR="005A103D" w:rsidRPr="00674EF6" w:rsidRDefault="005A103D" w:rsidP="00674EF6">
      <w:pPr>
        <w:adjustRightInd w:val="0"/>
        <w:snapToGrid w:val="0"/>
        <w:spacing w:line="576" w:lineRule="exact"/>
        <w:ind w:firstLine="640"/>
        <w:rPr>
          <w:rFonts w:ascii="仿宋_GB2312" w:eastAsia="仿宋_GB2312" w:hAnsi="仿宋_GB2312" w:cs="仿宋_GB2312"/>
          <w:bCs/>
          <w:color w:val="000000" w:themeColor="text1"/>
          <w:szCs w:val="32"/>
        </w:rPr>
      </w:pPr>
      <w:r w:rsidRPr="00674EF6">
        <w:rPr>
          <w:rFonts w:ascii="黑体" w:eastAsia="黑体" w:hAnsi="黑体" w:cs="黑体" w:hint="eastAsia"/>
          <w:bCs/>
          <w:color w:val="000000" w:themeColor="text1"/>
          <w:szCs w:val="32"/>
        </w:rPr>
        <w:lastRenderedPageBreak/>
        <w:t>第三十一条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因不文明行为受到罚款处罚的行为人，主动申请参加有关行政执法部门安排的社会服务的，可以依法从轻、减轻或者免予处罚。</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仿宋_GB2312" w:eastAsia="仿宋_GB2312" w:hAnsi="仿宋_GB2312" w:cs="仿宋_GB2312" w:hint="eastAsia"/>
          <w:bCs/>
          <w:color w:val="000000" w:themeColor="text1"/>
          <w:szCs w:val="32"/>
        </w:rPr>
        <w:t>社会服务的具体实施办法，由市人民政府制定。</w:t>
      </w:r>
    </w:p>
    <w:p w:rsidR="005A103D" w:rsidRPr="00674EF6" w:rsidRDefault="005A103D" w:rsidP="00674EF6">
      <w:pPr>
        <w:adjustRightInd w:val="0"/>
        <w:snapToGrid w:val="0"/>
        <w:spacing w:line="576" w:lineRule="exact"/>
        <w:ind w:firstLine="640"/>
        <w:rPr>
          <w:bCs/>
          <w:color w:val="000000" w:themeColor="text1"/>
          <w:szCs w:val="32"/>
        </w:rPr>
      </w:pPr>
      <w:r w:rsidRPr="00674EF6">
        <w:rPr>
          <w:rFonts w:ascii="黑体" w:eastAsia="黑体" w:hAnsi="黑体" w:cs="黑体" w:hint="eastAsia"/>
          <w:bCs/>
          <w:color w:val="000000" w:themeColor="text1"/>
          <w:szCs w:val="32"/>
        </w:rPr>
        <w:t>第三十二条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有关部门和单位及其工作人员在文明行为促进工作中玩忽职守、滥用职权、徇私舞弊的，由有权机关对直接负责的主管人员和直接责任人员依法给予处理；构成犯罪的，依法追究刑事责任。</w:t>
      </w:r>
    </w:p>
    <w:p w:rsidR="005A103D" w:rsidRPr="00674EF6" w:rsidRDefault="005A103D" w:rsidP="00674EF6">
      <w:pPr>
        <w:spacing w:line="576" w:lineRule="exact"/>
        <w:ind w:firstLine="640"/>
        <w:rPr>
          <w:bCs/>
          <w:color w:val="000000" w:themeColor="text1"/>
          <w:szCs w:val="32"/>
        </w:rPr>
      </w:pPr>
    </w:p>
    <w:p w:rsidR="005A103D" w:rsidRPr="00674EF6" w:rsidRDefault="005A103D" w:rsidP="00674EF6">
      <w:pPr>
        <w:spacing w:line="576" w:lineRule="exact"/>
        <w:ind w:firstLine="640"/>
        <w:jc w:val="center"/>
        <w:rPr>
          <w:rFonts w:eastAsia="黑体"/>
          <w:bCs/>
          <w:color w:val="000000" w:themeColor="text1"/>
          <w:szCs w:val="32"/>
        </w:rPr>
      </w:pPr>
      <w:r w:rsidRPr="00674EF6">
        <w:rPr>
          <w:rFonts w:eastAsia="黑体" w:hint="eastAsia"/>
          <w:bCs/>
          <w:color w:val="000000" w:themeColor="text1"/>
          <w:szCs w:val="32"/>
        </w:rPr>
        <w:t>第五章</w:t>
      </w:r>
      <w:r w:rsidRPr="00674EF6">
        <w:rPr>
          <w:rFonts w:eastAsia="黑体"/>
          <w:bCs/>
          <w:color w:val="000000" w:themeColor="text1"/>
          <w:szCs w:val="32"/>
        </w:rPr>
        <w:t xml:space="preserve">  </w:t>
      </w:r>
      <w:r w:rsidRPr="00674EF6">
        <w:rPr>
          <w:rFonts w:eastAsia="黑体" w:hint="eastAsia"/>
          <w:bCs/>
          <w:color w:val="000000" w:themeColor="text1"/>
          <w:szCs w:val="32"/>
        </w:rPr>
        <w:t>附</w:t>
      </w:r>
      <w:r w:rsidRPr="00674EF6">
        <w:rPr>
          <w:rFonts w:eastAsia="黑体"/>
          <w:bCs/>
          <w:color w:val="000000" w:themeColor="text1"/>
          <w:szCs w:val="32"/>
        </w:rPr>
        <w:t xml:space="preserve">  </w:t>
      </w:r>
      <w:r w:rsidRPr="00674EF6">
        <w:rPr>
          <w:rFonts w:eastAsia="黑体" w:hint="eastAsia"/>
          <w:bCs/>
          <w:color w:val="000000" w:themeColor="text1"/>
          <w:szCs w:val="32"/>
        </w:rPr>
        <w:t>则</w:t>
      </w:r>
    </w:p>
    <w:p w:rsidR="005A103D" w:rsidRPr="00674EF6" w:rsidRDefault="005A103D" w:rsidP="00674EF6">
      <w:pPr>
        <w:spacing w:line="576" w:lineRule="exact"/>
        <w:ind w:firstLine="640"/>
        <w:jc w:val="center"/>
        <w:rPr>
          <w:rFonts w:eastAsia="黑体" w:cs="黑体"/>
          <w:bCs/>
          <w:color w:val="000000" w:themeColor="text1"/>
          <w:szCs w:val="32"/>
        </w:rPr>
      </w:pPr>
    </w:p>
    <w:p w:rsidR="00C56ACC" w:rsidRPr="00674EF6" w:rsidRDefault="005A103D" w:rsidP="00674EF6">
      <w:pPr>
        <w:spacing w:line="576" w:lineRule="exact"/>
        <w:ind w:firstLine="640"/>
        <w:rPr>
          <w:color w:val="000000" w:themeColor="text1"/>
        </w:rPr>
      </w:pPr>
      <w:r w:rsidRPr="00674EF6">
        <w:rPr>
          <w:rFonts w:ascii="黑体" w:eastAsia="黑体" w:hAnsi="黑体" w:cs="黑体" w:hint="eastAsia"/>
          <w:bCs/>
          <w:color w:val="000000" w:themeColor="text1"/>
          <w:szCs w:val="32"/>
        </w:rPr>
        <w:t>第三十三条</w:t>
      </w:r>
      <w:r w:rsidRPr="00674EF6">
        <w:rPr>
          <w:bCs/>
          <w:color w:val="000000" w:themeColor="text1"/>
          <w:szCs w:val="32"/>
        </w:rPr>
        <w:t xml:space="preserve">  </w:t>
      </w:r>
      <w:r w:rsidRPr="00674EF6">
        <w:rPr>
          <w:rFonts w:ascii="仿宋_GB2312" w:eastAsia="仿宋_GB2312" w:hAnsi="仿宋_GB2312" w:cs="仿宋_GB2312" w:hint="eastAsia"/>
          <w:bCs/>
          <w:color w:val="000000" w:themeColor="text1"/>
          <w:szCs w:val="32"/>
        </w:rPr>
        <w:t>本条例自公布之日起施行</w:t>
      </w:r>
      <w:r w:rsidR="00AA4036" w:rsidRPr="00674EF6">
        <w:rPr>
          <w:rFonts w:ascii="仿宋_GB2312" w:eastAsia="仿宋_GB2312" w:hAnsi="仿宋_GB2312" w:cs="仿宋_GB2312" w:hint="eastAsia"/>
          <w:bCs/>
          <w:color w:val="000000" w:themeColor="text1"/>
          <w:szCs w:val="32"/>
        </w:rPr>
        <w:t>。</w:t>
      </w:r>
    </w:p>
    <w:sectPr w:rsidR="00C56ACC" w:rsidRPr="00674EF6" w:rsidSect="00674EF6">
      <w:headerReference w:type="even" r:id="rId7"/>
      <w:headerReference w:type="default" r:id="rId8"/>
      <w:footerReference w:type="even" r:id="rId9"/>
      <w:footerReference w:type="default" r:id="rId10"/>
      <w:headerReference w:type="first" r:id="rId11"/>
      <w:footerReference w:type="first" r:id="rId12"/>
      <w:pgSz w:w="11906" w:h="16838"/>
      <w:pgMar w:top="2098" w:right="1588" w:bottom="1814" w:left="1588" w:header="851" w:footer="510"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EF6" w:rsidRDefault="00674EF6" w:rsidP="00674EF6">
      <w:pPr>
        <w:ind w:firstLine="640"/>
      </w:pPr>
      <w:r>
        <w:separator/>
      </w:r>
    </w:p>
  </w:endnote>
  <w:endnote w:type="continuationSeparator" w:id="0">
    <w:p w:rsidR="00674EF6" w:rsidRDefault="00674EF6" w:rsidP="00674EF6">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F6" w:rsidRPr="00674EF6" w:rsidRDefault="00674EF6" w:rsidP="00674EF6">
    <w:pPr>
      <w:pStyle w:val="a5"/>
      <w:ind w:firstLine="560"/>
      <w:rPr>
        <w:rFonts w:asciiTheme="majorEastAsia" w:eastAsiaTheme="majorEastAsia" w:hAnsiTheme="majorEastAsia"/>
        <w:sz w:val="28"/>
        <w:szCs w:val="28"/>
      </w:rPr>
    </w:pPr>
    <w:r w:rsidRPr="00674EF6">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371602134"/>
        <w:docPartObj>
          <w:docPartGallery w:val="Page Numbers (Bottom of Page)"/>
          <w:docPartUnique/>
        </w:docPartObj>
      </w:sdtPr>
      <w:sdtEndPr/>
      <w:sdtContent>
        <w:r w:rsidRPr="00674EF6">
          <w:rPr>
            <w:rFonts w:asciiTheme="majorEastAsia" w:eastAsiaTheme="majorEastAsia" w:hAnsiTheme="majorEastAsia"/>
            <w:sz w:val="28"/>
            <w:szCs w:val="28"/>
          </w:rPr>
          <w:fldChar w:fldCharType="begin"/>
        </w:r>
        <w:r w:rsidRPr="00674EF6">
          <w:rPr>
            <w:rFonts w:asciiTheme="majorEastAsia" w:eastAsiaTheme="majorEastAsia" w:hAnsiTheme="majorEastAsia"/>
            <w:sz w:val="28"/>
            <w:szCs w:val="28"/>
          </w:rPr>
          <w:instrText>PAGE   \* MERGEFORMAT</w:instrText>
        </w:r>
        <w:r w:rsidRPr="00674EF6">
          <w:rPr>
            <w:rFonts w:asciiTheme="majorEastAsia" w:eastAsiaTheme="majorEastAsia" w:hAnsiTheme="majorEastAsia"/>
            <w:sz w:val="28"/>
            <w:szCs w:val="28"/>
          </w:rPr>
          <w:fldChar w:fldCharType="separate"/>
        </w:r>
        <w:r w:rsidR="006D7EFF" w:rsidRPr="006D7EFF">
          <w:rPr>
            <w:rFonts w:asciiTheme="majorEastAsia" w:eastAsiaTheme="majorEastAsia" w:hAnsiTheme="majorEastAsia"/>
            <w:noProof/>
            <w:sz w:val="28"/>
            <w:szCs w:val="28"/>
            <w:lang w:val="zh-CN"/>
          </w:rPr>
          <w:t>2</w:t>
        </w:r>
        <w:r w:rsidRPr="00674EF6">
          <w:rPr>
            <w:rFonts w:asciiTheme="majorEastAsia" w:eastAsiaTheme="majorEastAsia" w:hAnsiTheme="majorEastAsia"/>
            <w:sz w:val="28"/>
            <w:szCs w:val="28"/>
          </w:rPr>
          <w:fldChar w:fldCharType="end"/>
        </w:r>
        <w:r w:rsidRPr="00674EF6">
          <w:rPr>
            <w:rFonts w:asciiTheme="majorEastAsia" w:eastAsiaTheme="majorEastAsia" w:hAnsiTheme="majorEastAsia" w:hint="eastAsia"/>
            <w:sz w:val="28"/>
            <w:szCs w:val="28"/>
          </w:rPr>
          <w:t xml:space="preserve"> —</w:t>
        </w:r>
      </w:sdtContent>
    </w:sdt>
  </w:p>
  <w:p w:rsidR="00674EF6" w:rsidRPr="00674EF6" w:rsidRDefault="00674EF6" w:rsidP="00674EF6">
    <w:pPr>
      <w:pStyle w:val="a5"/>
      <w:ind w:firstLine="560"/>
      <w:rPr>
        <w:rFonts w:asciiTheme="majorEastAsia" w:eastAsiaTheme="majorEastAsia" w:hAnsiTheme="maj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F6" w:rsidRPr="00674EF6" w:rsidRDefault="00674EF6" w:rsidP="00674EF6">
    <w:pPr>
      <w:pStyle w:val="a5"/>
      <w:ind w:firstLine="640"/>
      <w:jc w:val="right"/>
      <w:rPr>
        <w:rFonts w:asciiTheme="majorEastAsia" w:eastAsiaTheme="majorEastAsia" w:hAnsiTheme="majorEastAsia"/>
        <w:sz w:val="32"/>
        <w:szCs w:val="32"/>
      </w:rPr>
    </w:pPr>
    <w:r w:rsidRPr="00674EF6">
      <w:rPr>
        <w:rFonts w:asciiTheme="majorEastAsia" w:eastAsiaTheme="majorEastAsia" w:hAnsiTheme="majorEastAsia"/>
        <w:sz w:val="32"/>
        <w:szCs w:val="32"/>
      </w:rPr>
      <w:t xml:space="preserve">— </w:t>
    </w:r>
    <w:sdt>
      <w:sdtPr>
        <w:rPr>
          <w:rFonts w:asciiTheme="majorEastAsia" w:eastAsiaTheme="majorEastAsia" w:hAnsiTheme="majorEastAsia"/>
          <w:sz w:val="32"/>
          <w:szCs w:val="32"/>
        </w:rPr>
        <w:id w:val="1213471268"/>
        <w:docPartObj>
          <w:docPartGallery w:val="Page Numbers (Bottom of Page)"/>
          <w:docPartUnique/>
        </w:docPartObj>
      </w:sdtPr>
      <w:sdtEndPr/>
      <w:sdtContent>
        <w:r w:rsidRPr="00674EF6">
          <w:rPr>
            <w:rFonts w:asciiTheme="majorEastAsia" w:eastAsiaTheme="majorEastAsia" w:hAnsiTheme="majorEastAsia"/>
            <w:sz w:val="32"/>
            <w:szCs w:val="32"/>
          </w:rPr>
          <w:fldChar w:fldCharType="begin"/>
        </w:r>
        <w:r w:rsidRPr="00674EF6">
          <w:rPr>
            <w:rFonts w:asciiTheme="majorEastAsia" w:eastAsiaTheme="majorEastAsia" w:hAnsiTheme="majorEastAsia"/>
            <w:sz w:val="32"/>
            <w:szCs w:val="32"/>
          </w:rPr>
          <w:instrText>PAGE   \* MERGEFORMAT</w:instrText>
        </w:r>
        <w:r w:rsidRPr="00674EF6">
          <w:rPr>
            <w:rFonts w:asciiTheme="majorEastAsia" w:eastAsiaTheme="majorEastAsia" w:hAnsiTheme="majorEastAsia"/>
            <w:sz w:val="32"/>
            <w:szCs w:val="32"/>
          </w:rPr>
          <w:fldChar w:fldCharType="separate"/>
        </w:r>
        <w:r w:rsidR="006D7EFF" w:rsidRPr="006D7EFF">
          <w:rPr>
            <w:rFonts w:asciiTheme="majorEastAsia" w:eastAsiaTheme="majorEastAsia" w:hAnsiTheme="majorEastAsia"/>
            <w:noProof/>
            <w:sz w:val="32"/>
            <w:szCs w:val="32"/>
            <w:lang w:val="zh-CN"/>
          </w:rPr>
          <w:t>1</w:t>
        </w:r>
        <w:r w:rsidRPr="00674EF6">
          <w:rPr>
            <w:rFonts w:asciiTheme="majorEastAsia" w:eastAsiaTheme="majorEastAsia" w:hAnsiTheme="majorEastAsia"/>
            <w:sz w:val="32"/>
            <w:szCs w:val="32"/>
          </w:rPr>
          <w:fldChar w:fldCharType="end"/>
        </w:r>
        <w:r w:rsidRPr="00674EF6">
          <w:rPr>
            <w:rFonts w:asciiTheme="majorEastAsia" w:eastAsiaTheme="majorEastAsia" w:hAnsiTheme="majorEastAsia"/>
            <w:sz w:val="32"/>
            <w:szCs w:val="32"/>
          </w:rPr>
          <w:t xml:space="preserve"> —</w:t>
        </w:r>
      </w:sdtContent>
    </w:sdt>
  </w:p>
  <w:p w:rsidR="00674EF6" w:rsidRPr="00674EF6" w:rsidRDefault="00674EF6" w:rsidP="00674EF6">
    <w:pPr>
      <w:pStyle w:val="a5"/>
      <w:ind w:firstLine="640"/>
      <w:rPr>
        <w:rFonts w:asciiTheme="majorEastAsia" w:eastAsiaTheme="majorEastAsia" w:hAnsiTheme="majorEastAsia"/>
        <w:sz w:val="32"/>
        <w:szCs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F6" w:rsidRDefault="00674EF6" w:rsidP="00674EF6">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EF6" w:rsidRDefault="00674EF6" w:rsidP="00674EF6">
      <w:pPr>
        <w:ind w:firstLine="640"/>
      </w:pPr>
      <w:r>
        <w:separator/>
      </w:r>
    </w:p>
  </w:footnote>
  <w:footnote w:type="continuationSeparator" w:id="0">
    <w:p w:rsidR="00674EF6" w:rsidRDefault="00674EF6" w:rsidP="00674EF6">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F6" w:rsidRDefault="00674EF6" w:rsidP="00674EF6">
    <w:pPr>
      <w:pStyle w:val="a4"/>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F6" w:rsidRDefault="00674EF6" w:rsidP="00674EF6">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F6" w:rsidRDefault="00674EF6" w:rsidP="00674EF6">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34C"/>
    <w:rsid w:val="0011001D"/>
    <w:rsid w:val="00260475"/>
    <w:rsid w:val="00314D86"/>
    <w:rsid w:val="005A103D"/>
    <w:rsid w:val="00674EF6"/>
    <w:rsid w:val="006D7EFF"/>
    <w:rsid w:val="0088534C"/>
    <w:rsid w:val="00AA4036"/>
    <w:rsid w:val="00C56ACC"/>
    <w:rsid w:val="00DD5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03D"/>
    <w:pPr>
      <w:widowControl w:val="0"/>
      <w:ind w:firstLineChars="200" w:firstLine="200"/>
      <w:jc w:val="both"/>
    </w:pPr>
    <w:rPr>
      <w:rFonts w:ascii="Times New Roman" w:eastAsia="方正仿宋简体"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5A103D"/>
    <w:pPr>
      <w:spacing w:line="580" w:lineRule="exact"/>
      <w:ind w:firstLineChars="0" w:firstLine="0"/>
      <w:jc w:val="center"/>
      <w:outlineLvl w:val="0"/>
    </w:pPr>
    <w:rPr>
      <w:rFonts w:ascii="宋体" w:eastAsia="宋体" w:hAnsi="宋体"/>
      <w:bCs/>
      <w:szCs w:val="32"/>
    </w:rPr>
  </w:style>
  <w:style w:type="character" w:customStyle="1" w:styleId="Char">
    <w:name w:val="标题 Char"/>
    <w:basedOn w:val="a0"/>
    <w:link w:val="a3"/>
    <w:rsid w:val="005A103D"/>
    <w:rPr>
      <w:rFonts w:ascii="宋体" w:eastAsia="宋体" w:hAnsi="宋体" w:cs="Times New Roman"/>
      <w:bCs/>
      <w:sz w:val="32"/>
      <w:szCs w:val="32"/>
    </w:rPr>
  </w:style>
  <w:style w:type="paragraph" w:styleId="a4">
    <w:name w:val="header"/>
    <w:basedOn w:val="a"/>
    <w:link w:val="Char0"/>
    <w:uiPriority w:val="99"/>
    <w:unhideWhenUsed/>
    <w:rsid w:val="00674E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74EF6"/>
    <w:rPr>
      <w:rFonts w:ascii="Times New Roman" w:eastAsia="方正仿宋简体" w:hAnsi="Times New Roman" w:cs="Times New Roman"/>
      <w:sz w:val="18"/>
      <w:szCs w:val="18"/>
    </w:rPr>
  </w:style>
  <w:style w:type="paragraph" w:styleId="a5">
    <w:name w:val="footer"/>
    <w:basedOn w:val="a"/>
    <w:link w:val="Char1"/>
    <w:uiPriority w:val="99"/>
    <w:unhideWhenUsed/>
    <w:rsid w:val="00674EF6"/>
    <w:pPr>
      <w:tabs>
        <w:tab w:val="center" w:pos="4153"/>
        <w:tab w:val="right" w:pos="8306"/>
      </w:tabs>
      <w:snapToGrid w:val="0"/>
      <w:jc w:val="left"/>
    </w:pPr>
    <w:rPr>
      <w:sz w:val="18"/>
      <w:szCs w:val="18"/>
    </w:rPr>
  </w:style>
  <w:style w:type="character" w:customStyle="1" w:styleId="Char1">
    <w:name w:val="页脚 Char"/>
    <w:basedOn w:val="a0"/>
    <w:link w:val="a5"/>
    <w:uiPriority w:val="99"/>
    <w:rsid w:val="00674EF6"/>
    <w:rPr>
      <w:rFonts w:ascii="Times New Roman" w:eastAsia="方正仿宋简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03D"/>
    <w:pPr>
      <w:widowControl w:val="0"/>
      <w:ind w:firstLineChars="200" w:firstLine="200"/>
      <w:jc w:val="both"/>
    </w:pPr>
    <w:rPr>
      <w:rFonts w:ascii="Times New Roman" w:eastAsia="方正仿宋简体"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5A103D"/>
    <w:pPr>
      <w:spacing w:line="580" w:lineRule="exact"/>
      <w:ind w:firstLineChars="0" w:firstLine="0"/>
      <w:jc w:val="center"/>
      <w:outlineLvl w:val="0"/>
    </w:pPr>
    <w:rPr>
      <w:rFonts w:ascii="宋体" w:eastAsia="宋体" w:hAnsi="宋体"/>
      <w:bCs/>
      <w:szCs w:val="32"/>
    </w:rPr>
  </w:style>
  <w:style w:type="character" w:customStyle="1" w:styleId="Char">
    <w:name w:val="标题 Char"/>
    <w:basedOn w:val="a0"/>
    <w:link w:val="a3"/>
    <w:rsid w:val="005A103D"/>
    <w:rPr>
      <w:rFonts w:ascii="宋体" w:eastAsia="宋体" w:hAnsi="宋体" w:cs="Times New Roman"/>
      <w:bCs/>
      <w:sz w:val="32"/>
      <w:szCs w:val="32"/>
    </w:rPr>
  </w:style>
  <w:style w:type="paragraph" w:styleId="a4">
    <w:name w:val="header"/>
    <w:basedOn w:val="a"/>
    <w:link w:val="Char0"/>
    <w:uiPriority w:val="99"/>
    <w:unhideWhenUsed/>
    <w:rsid w:val="00674E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74EF6"/>
    <w:rPr>
      <w:rFonts w:ascii="Times New Roman" w:eastAsia="方正仿宋简体" w:hAnsi="Times New Roman" w:cs="Times New Roman"/>
      <w:sz w:val="18"/>
      <w:szCs w:val="18"/>
    </w:rPr>
  </w:style>
  <w:style w:type="paragraph" w:styleId="a5">
    <w:name w:val="footer"/>
    <w:basedOn w:val="a"/>
    <w:link w:val="Char1"/>
    <w:uiPriority w:val="99"/>
    <w:unhideWhenUsed/>
    <w:rsid w:val="00674EF6"/>
    <w:pPr>
      <w:tabs>
        <w:tab w:val="center" w:pos="4153"/>
        <w:tab w:val="right" w:pos="8306"/>
      </w:tabs>
      <w:snapToGrid w:val="0"/>
      <w:jc w:val="left"/>
    </w:pPr>
    <w:rPr>
      <w:sz w:val="18"/>
      <w:szCs w:val="18"/>
    </w:rPr>
  </w:style>
  <w:style w:type="character" w:customStyle="1" w:styleId="Char1">
    <w:name w:val="页脚 Char"/>
    <w:basedOn w:val="a0"/>
    <w:link w:val="a5"/>
    <w:uiPriority w:val="99"/>
    <w:rsid w:val="00674EF6"/>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1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815</Words>
  <Characters>4652</Characters>
  <Application>Microsoft Office Word</Application>
  <DocSecurity>0</DocSecurity>
  <Lines>38</Lines>
  <Paragraphs>10</Paragraphs>
  <ScaleCrop>false</ScaleCrop>
  <Company>Microsoft</Company>
  <LinksUpToDate>false</LinksUpToDate>
  <CharactersWithSpaces>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9</cp:revision>
  <dcterms:created xsi:type="dcterms:W3CDTF">2020-08-07T02:05:00Z</dcterms:created>
  <dcterms:modified xsi:type="dcterms:W3CDTF">2020-08-20T07:25:00Z</dcterms:modified>
</cp:coreProperties>
</file>