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河南省人民代表大会常务委员会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关于河南省资源税适用税率等事项的决定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（2020年7月31日河南省第十三届人民代表大会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常务委员会第十九次会议通过）</w:t>
      </w:r>
    </w:p>
    <w:p>
      <w:pPr>
        <w:snapToGrid w:val="0"/>
        <w:spacing w:line="560" w:lineRule="exact"/>
        <w:jc w:val="center"/>
        <w:rPr>
          <w:rFonts w:hint="eastAsia" w:ascii="仿宋_GB2312" w:hAnsi="仿宋_GB2312" w:eastAsia="仿宋_GB2312" w:cs="仿宋_GB2312"/>
          <w:sz w:val="30"/>
          <w:szCs w:val="30"/>
        </w:rPr>
      </w:pP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河南省第十三届人民代表大会常务委员会第十九次会议听取了省人民政府《关于河南省资源税适用税率等事项方案（草案）的说明》，审议了《河南省人民政府关于提请审议河南省资源税适用税率等事项方案（草案）的议案》。会议同意河南省人民代表大会财政经济委员会的审议意见。</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为更好地运用税收手段促进资源节约集约利用、加强生态环境保护，统筹考虑我省矿产资源情况和资源税征收等情况，根据《中华人民共和国资源</w:t>
      </w:r>
      <w:r>
        <w:rPr>
          <w:rFonts w:ascii="仿宋_GB2312" w:hAnsi="仿宋_GB2312" w:eastAsia="仿宋_GB2312" w:cs="仿宋"/>
          <w:color w:val="000000"/>
          <w:sz w:val="32"/>
          <w:szCs w:val="32"/>
        </w:rPr>
        <w:t>税法</w:t>
      </w:r>
      <w:r>
        <w:rPr>
          <w:rFonts w:hint="eastAsia" w:ascii="仿宋_GB2312" w:hAnsi="仿宋_GB2312" w:eastAsia="仿宋_GB2312" w:cs="仿宋"/>
          <w:color w:val="000000"/>
          <w:sz w:val="32"/>
          <w:szCs w:val="32"/>
        </w:rPr>
        <w:t>》第二条、第三条、第七条的规定，作出如下决定：</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一、</w:t>
      </w:r>
      <w:r>
        <w:rPr>
          <w:rFonts w:hint="eastAsia" w:ascii="仿宋_GB2312" w:hAnsi="仿宋_GB2312" w:eastAsia="仿宋_GB2312" w:cs="仿宋_GB2312"/>
          <w:sz w:val="32"/>
          <w:szCs w:val="32"/>
        </w:rPr>
        <w:t>资源</w:t>
      </w:r>
      <w:r>
        <w:rPr>
          <w:rFonts w:ascii="仿宋_GB2312" w:hAnsi="仿宋_GB2312" w:eastAsia="仿宋_GB2312" w:cs="仿宋_GB2312"/>
          <w:sz w:val="32"/>
          <w:szCs w:val="32"/>
        </w:rPr>
        <w:t>税法</w:t>
      </w:r>
      <w:r>
        <w:rPr>
          <w:rFonts w:hint="eastAsia" w:ascii="仿宋_GB2312" w:hAnsi="仿宋_GB2312" w:eastAsia="仿宋_GB2312" w:cs="仿宋"/>
          <w:color w:val="000000"/>
          <w:sz w:val="32"/>
          <w:szCs w:val="32"/>
        </w:rPr>
        <w:t>规定实行幅度税率的税目，其具体适用税率按《</w:t>
      </w:r>
      <w:r>
        <w:rPr>
          <w:rFonts w:hint="eastAsia" w:ascii="仿宋_GB2312" w:eastAsia="仿宋_GB2312"/>
          <w:color w:val="000000"/>
          <w:sz w:val="32"/>
          <w:szCs w:val="32"/>
        </w:rPr>
        <w:t>河南省资源税税目税率表</w:t>
      </w:r>
      <w:r>
        <w:rPr>
          <w:rFonts w:hint="eastAsia" w:ascii="仿宋_GB2312" w:hAnsi="仿宋_GB2312" w:eastAsia="仿宋_GB2312" w:cs="仿宋"/>
          <w:color w:val="000000"/>
          <w:sz w:val="32"/>
          <w:szCs w:val="32"/>
        </w:rPr>
        <w:t>》执行。</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二、</w:t>
      </w:r>
      <w:r>
        <w:rPr>
          <w:rFonts w:hint="eastAsia" w:ascii="仿宋_GB2312" w:hAnsi="仿宋_GB2312" w:eastAsia="仿宋_GB2312" w:cs="仿宋_GB2312"/>
          <w:sz w:val="32"/>
          <w:szCs w:val="32"/>
        </w:rPr>
        <w:t>资源</w:t>
      </w:r>
      <w:r>
        <w:rPr>
          <w:rFonts w:ascii="仿宋_GB2312" w:hAnsi="仿宋_GB2312" w:eastAsia="仿宋_GB2312" w:cs="仿宋_GB2312"/>
          <w:sz w:val="32"/>
          <w:szCs w:val="32"/>
        </w:rPr>
        <w:t>税法</w:t>
      </w:r>
      <w:r>
        <w:rPr>
          <w:rFonts w:hint="eastAsia" w:ascii="仿宋_GB2312" w:hAnsi="仿宋_GB2312" w:eastAsia="仿宋_GB2312" w:cs="仿宋"/>
          <w:color w:val="000000"/>
          <w:sz w:val="32"/>
          <w:szCs w:val="32"/>
        </w:rPr>
        <w:t>规定可以选择实行从价计征或者从量计征的税目中，天然卤水实行从价计征，石灰岩、砂石、其他粘土、地热、矿泉水实行从量计征。</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三、根据资源税法第七条规定的情形免征或者减征资源税的，按以下规定执行：</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（一）纳税人开采或者生产应税产品过程中，</w:t>
      </w:r>
      <w:r>
        <w:rPr>
          <w:rFonts w:hint="eastAsia" w:ascii="Times New Roman" w:hAnsi="Times New Roman" w:eastAsia="仿宋_GB2312"/>
          <w:color w:val="000000"/>
          <w:sz w:val="32"/>
          <w:szCs w:val="32"/>
        </w:rPr>
        <w:t>因意外事故或者自然灾害等原因</w:t>
      </w:r>
      <w:r>
        <w:rPr>
          <w:rFonts w:hint="eastAsia" w:ascii="仿宋_GB2312" w:hAnsi="仿宋_GB2312" w:eastAsia="仿宋_GB2312" w:cs="仿宋"/>
          <w:color w:val="000000"/>
          <w:sz w:val="32"/>
          <w:szCs w:val="32"/>
        </w:rPr>
        <w:t>遭受重大损失的，按其损失金额的</w:t>
      </w:r>
      <w:r>
        <w:rPr>
          <w:rFonts w:ascii="Times New Roman" w:hAnsi="Times New Roman" w:eastAsia="仿宋_GB2312"/>
          <w:color w:val="000000"/>
          <w:sz w:val="32"/>
          <w:szCs w:val="32"/>
        </w:rPr>
        <w:t>百分之五十</w:t>
      </w:r>
      <w:r>
        <w:rPr>
          <w:rFonts w:hint="eastAsia" w:ascii="仿宋_GB2312" w:hAnsi="仿宋_GB2312" w:eastAsia="仿宋_GB2312" w:cs="仿宋"/>
          <w:color w:val="000000"/>
          <w:sz w:val="32"/>
          <w:szCs w:val="32"/>
        </w:rPr>
        <w:t>减征资源税，减税额最高不超过其遭受重大损失当年应纳资源税总额；</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（二）纳税人开采伴生矿，伴生矿与主矿产品销售额分开核算的，伴生矿免征资源税；</w:t>
      </w:r>
    </w:p>
    <w:p>
      <w:pPr>
        <w:pStyle w:val="4"/>
        <w:snapToGrid w:val="0"/>
        <w:spacing w:beforeAutospacing="0" w:afterAutospacing="0" w:line="360" w:lineRule="auto"/>
        <w:ind w:firstLine="632" w:firstLineChars="200"/>
        <w:jc w:val="both"/>
        <w:rPr>
          <w:rFonts w:hint="eastAsia" w:ascii="仿宋_GB2312" w:hAnsi="Times New Roman" w:eastAsia="仿宋_GB2312"/>
          <w:color w:val="000000"/>
          <w:sz w:val="32"/>
          <w:szCs w:val="32"/>
        </w:rPr>
      </w:pPr>
      <w:r>
        <w:rPr>
          <w:rFonts w:hint="eastAsia" w:ascii="仿宋_GB2312" w:hAnsi="仿宋_GB2312" w:eastAsia="仿宋_GB2312" w:cs="仿宋"/>
          <w:color w:val="000000"/>
          <w:sz w:val="32"/>
          <w:szCs w:val="32"/>
        </w:rPr>
        <w:t>（三）</w:t>
      </w:r>
      <w:r>
        <w:rPr>
          <w:rFonts w:ascii="Times New Roman" w:hAnsi="Times New Roman" w:eastAsia="仿宋_GB2312"/>
          <w:color w:val="000000"/>
          <w:sz w:val="32"/>
          <w:szCs w:val="32"/>
        </w:rPr>
        <w:t>纳税人回收利用尾矿库里的尾矿，免征资源税</w:t>
      </w:r>
      <w:r>
        <w:rPr>
          <w:rFonts w:hint="eastAsia" w:ascii="仿宋_GB2312" w:hAnsi="Times New Roman" w:eastAsia="仿宋_GB2312"/>
          <w:color w:val="000000"/>
          <w:sz w:val="32"/>
          <w:szCs w:val="32"/>
        </w:rPr>
        <w:t>。</w:t>
      </w:r>
    </w:p>
    <w:p>
      <w:pPr>
        <w:pStyle w:val="4"/>
        <w:snapToGrid w:val="0"/>
        <w:spacing w:beforeAutospacing="0" w:afterAutospacing="0" w:line="360" w:lineRule="auto"/>
        <w:ind w:firstLine="632" w:firstLineChars="200"/>
        <w:jc w:val="both"/>
        <w:rPr>
          <w:rFonts w:hint="eastAsia" w:ascii="仿宋_GB2312" w:hAnsi="仿宋_GB2312" w:eastAsia="仿宋_GB2312" w:cs="仿宋"/>
          <w:color w:val="000000"/>
          <w:sz w:val="32"/>
          <w:szCs w:val="32"/>
        </w:rPr>
      </w:pPr>
      <w:r>
        <w:rPr>
          <w:rFonts w:hint="eastAsia" w:ascii="仿宋_GB2312" w:hAnsi="Times New Roman" w:eastAsia="仿宋_GB2312"/>
          <w:color w:val="000000"/>
          <w:sz w:val="32"/>
          <w:szCs w:val="32"/>
        </w:rPr>
        <w:t>纳税人符合以上规定的，可申报享受税收优惠政策，并将相关材料留存备查。意外事故、自然灾害和尾矿由县级以上政府应急管理部门会同有关部门认定。共伴生矿由县级以上政府自然资源部门会同有关部门认定。</w:t>
      </w:r>
    </w:p>
    <w:p>
      <w:pPr>
        <w:pStyle w:val="4"/>
        <w:snapToGrid w:val="0"/>
        <w:spacing w:beforeAutospacing="0" w:afterAutospacing="0" w:line="360" w:lineRule="auto"/>
        <w:ind w:firstLine="632"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各级政府应当制定具体实施办法，并建立健全本地跨部门资源税协作和信息共享工作机制。自然资源、应急管理等部门应当向税务部门提供共伴生矿、尾矿、自然灾害、意外事故等的认定材料以及与减免税相关的其他信息，并在税务部门书面函件送达的十五个工作日内回复。</w:t>
      </w:r>
    </w:p>
    <w:p>
      <w:pPr>
        <w:pStyle w:val="4"/>
        <w:snapToGrid w:val="0"/>
        <w:spacing w:beforeAutospacing="0" w:afterAutospacing="0" w:line="360" w:lineRule="auto"/>
        <w:ind w:firstLine="632" w:firstLineChars="200"/>
        <w:jc w:val="both"/>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五、本决定自2020年9月1日起施行。</w:t>
      </w:r>
      <w:bookmarkStart w:id="0" w:name="_GoBack"/>
      <w:bookmarkEnd w:id="0"/>
    </w:p>
    <w:p>
      <w:pPr>
        <w:pStyle w:val="4"/>
        <w:widowControl/>
        <w:snapToGrid w:val="0"/>
        <w:spacing w:beforeAutospacing="0" w:afterAutospacing="0" w:line="360" w:lineRule="auto"/>
        <w:ind w:firstLine="632" w:firstLineChars="200"/>
        <w:jc w:val="both"/>
        <w:rPr>
          <w:rFonts w:hint="eastAsia" w:ascii="仿宋_GB2312" w:hAnsi="仿宋_GB2312" w:eastAsia="仿宋_GB2312" w:cs="仿宋"/>
          <w:color w:val="000000"/>
          <w:sz w:val="30"/>
          <w:szCs w:val="30"/>
        </w:rPr>
      </w:pPr>
      <w:r>
        <w:rPr>
          <w:rFonts w:hint="eastAsia" w:ascii="仿宋_GB2312" w:hAnsi="Times New Roman" w:eastAsia="仿宋_GB2312"/>
          <w:color w:val="000000"/>
          <w:sz w:val="32"/>
          <w:szCs w:val="32"/>
        </w:rPr>
        <w:t>附件：河南省资源税税目税率表</w:t>
      </w:r>
    </w:p>
    <w:p>
      <w:pPr>
        <w:tabs>
          <w:tab w:val="left" w:pos="6099"/>
        </w:tabs>
        <w:spacing w:line="600" w:lineRule="exact"/>
        <w:rPr>
          <w:rFonts w:hint="eastAsia" w:ascii="黑体" w:hAnsi="黑体" w:eastAsia="黑体" w:cs="仿宋_GB2312"/>
          <w:sz w:val="30"/>
          <w:szCs w:val="30"/>
        </w:rPr>
      </w:pPr>
      <w:r>
        <w:rPr>
          <w:rFonts w:ascii="仿宋_GB2312" w:eastAsia="仿宋_GB2312"/>
          <w:sz w:val="30"/>
          <w:szCs w:val="30"/>
        </w:rPr>
        <w:br w:type="page"/>
      </w:r>
      <w:r>
        <w:rPr>
          <w:rFonts w:hint="eastAsia" w:ascii="黑体" w:hAnsi="黑体" w:eastAsia="黑体" w:cs="仿宋_GB2312"/>
          <w:sz w:val="30"/>
          <w:szCs w:val="30"/>
        </w:rPr>
        <w:t>附件</w:t>
      </w:r>
    </w:p>
    <w:p>
      <w:pPr>
        <w:tabs>
          <w:tab w:val="left" w:pos="6099"/>
        </w:tabs>
        <w:spacing w:line="600" w:lineRule="exact"/>
        <w:jc w:val="center"/>
        <w:rPr>
          <w:rFonts w:hint="eastAsia" w:ascii="方正小标宋简体" w:hAnsi="仿宋_GB2312" w:eastAsia="方正小标宋简体" w:cs="仿宋_GB2312"/>
          <w:sz w:val="44"/>
          <w:szCs w:val="44"/>
        </w:rPr>
      </w:pPr>
      <w:r>
        <w:rPr>
          <w:rFonts w:hint="eastAsia" w:ascii="方正小标宋简体" w:eastAsia="方正小标宋简体"/>
          <w:color w:val="000000"/>
          <w:sz w:val="44"/>
          <w:szCs w:val="44"/>
        </w:rPr>
        <w:t>河南省资源税税目税率表</w:t>
      </w:r>
    </w:p>
    <w:p>
      <w:pPr>
        <w:tabs>
          <w:tab w:val="left" w:pos="6099"/>
        </w:tabs>
        <w:spacing w:line="600" w:lineRule="exact"/>
        <w:rPr>
          <w:rFonts w:hint="eastAsia" w:ascii="仿宋_GB2312" w:hAnsi="仿宋_GB2312" w:eastAsia="仿宋_GB2312" w:cs="仿宋_GB2312"/>
          <w:sz w:val="30"/>
          <w:szCs w:val="30"/>
        </w:rPr>
      </w:pPr>
    </w:p>
    <w:tbl>
      <w:tblPr>
        <w:tblStyle w:val="6"/>
        <w:tblW w:w="7891" w:type="dxa"/>
        <w:jc w:val="center"/>
        <w:tblInd w:w="0" w:type="dxa"/>
        <w:tblLayout w:type="fixed"/>
        <w:tblCellMar>
          <w:top w:w="0" w:type="dxa"/>
          <w:left w:w="108" w:type="dxa"/>
          <w:bottom w:w="0" w:type="dxa"/>
          <w:right w:w="108" w:type="dxa"/>
        </w:tblCellMar>
      </w:tblPr>
      <w:tblGrid>
        <w:gridCol w:w="1568"/>
        <w:gridCol w:w="1045"/>
        <w:gridCol w:w="2645"/>
        <w:gridCol w:w="1080"/>
        <w:gridCol w:w="1553"/>
      </w:tblGrid>
      <w:tr>
        <w:tblPrEx>
          <w:tblLayout w:type="fixed"/>
          <w:tblCellMar>
            <w:top w:w="0" w:type="dxa"/>
            <w:left w:w="108" w:type="dxa"/>
            <w:bottom w:w="0" w:type="dxa"/>
            <w:right w:w="108" w:type="dxa"/>
          </w:tblCellMar>
        </w:tblPrEx>
        <w:trPr>
          <w:trHeight w:val="454" w:hRule="exact"/>
          <w:jc w:val="center"/>
        </w:trPr>
        <w:tc>
          <w:tcPr>
            <w:tcW w:w="5258" w:type="dxa"/>
            <w:gridSpan w:val="3"/>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center"/>
              <w:rPr>
                <w:rFonts w:hint="eastAsia" w:asciiTheme="majorEastAsia" w:hAnsiTheme="majorEastAsia" w:eastAsiaTheme="majorEastAsia" w:cstheme="majorEastAsia"/>
                <w:b/>
                <w:bCs/>
                <w:color w:val="000000"/>
                <w:kern w:val="0"/>
                <w:sz w:val="20"/>
                <w:szCs w:val="20"/>
              </w:rPr>
            </w:pPr>
            <w:r>
              <w:rPr>
                <w:rFonts w:hint="eastAsia" w:asciiTheme="majorEastAsia" w:hAnsiTheme="majorEastAsia" w:eastAsiaTheme="majorEastAsia" w:cstheme="majorEastAsia"/>
                <w:b/>
                <w:bCs/>
                <w:color w:val="000000"/>
                <w:kern w:val="0"/>
                <w:sz w:val="20"/>
                <w:szCs w:val="20"/>
              </w:rPr>
              <w:t>税目</w:t>
            </w:r>
          </w:p>
        </w:tc>
        <w:tc>
          <w:tcPr>
            <w:tcW w:w="1080"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Theme="majorEastAsia" w:hAnsiTheme="majorEastAsia" w:eastAsiaTheme="majorEastAsia" w:cstheme="majorEastAsia"/>
                <w:b/>
                <w:bCs/>
                <w:color w:val="000000"/>
                <w:kern w:val="0"/>
                <w:sz w:val="20"/>
                <w:szCs w:val="20"/>
              </w:rPr>
            </w:pPr>
            <w:r>
              <w:rPr>
                <w:rFonts w:hint="eastAsia" w:asciiTheme="majorEastAsia" w:hAnsiTheme="majorEastAsia" w:eastAsiaTheme="majorEastAsia" w:cstheme="majorEastAsia"/>
                <w:b/>
                <w:bCs/>
                <w:color w:val="000000"/>
                <w:kern w:val="0"/>
                <w:sz w:val="20"/>
                <w:szCs w:val="20"/>
              </w:rPr>
              <w:t>征税对象</w:t>
            </w:r>
          </w:p>
        </w:tc>
        <w:tc>
          <w:tcPr>
            <w:tcW w:w="1553"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Theme="majorEastAsia" w:hAnsiTheme="majorEastAsia" w:eastAsiaTheme="majorEastAsia" w:cstheme="majorEastAsia"/>
                <w:b/>
                <w:bCs/>
                <w:color w:val="000000"/>
                <w:kern w:val="0"/>
                <w:sz w:val="20"/>
                <w:szCs w:val="20"/>
              </w:rPr>
            </w:pPr>
            <w:r>
              <w:rPr>
                <w:rFonts w:hint="eastAsia" w:asciiTheme="majorEastAsia" w:hAnsiTheme="majorEastAsia" w:eastAsiaTheme="majorEastAsia" w:cstheme="majorEastAsia"/>
                <w:b/>
                <w:bCs/>
                <w:color w:val="000000"/>
                <w:kern w:val="0"/>
                <w:sz w:val="20"/>
                <w:szCs w:val="20"/>
              </w:rPr>
              <w:t>税率</w:t>
            </w:r>
          </w:p>
        </w:tc>
      </w:tr>
      <w:tr>
        <w:tblPrEx>
          <w:tblLayout w:type="fixed"/>
          <w:tblCellMar>
            <w:top w:w="0" w:type="dxa"/>
            <w:left w:w="108" w:type="dxa"/>
            <w:bottom w:w="0" w:type="dxa"/>
            <w:right w:w="108" w:type="dxa"/>
          </w:tblCellMar>
        </w:tblPrEx>
        <w:trPr>
          <w:trHeight w:val="454" w:hRule="exact"/>
          <w:jc w:val="center"/>
        </w:trPr>
        <w:tc>
          <w:tcPr>
            <w:tcW w:w="1568" w:type="dxa"/>
            <w:vMerge w:val="restart"/>
            <w:tcBorders>
              <w:top w:val="single" w:color="auto" w:sz="8" w:space="0"/>
              <w:left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能源矿产</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（6个）</w:t>
            </w:r>
          </w:p>
        </w:tc>
        <w:tc>
          <w:tcPr>
            <w:tcW w:w="3690"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原油</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b/>
                <w:bCs/>
                <w:color w:val="000000"/>
                <w:kern w:val="0"/>
                <w:sz w:val="20"/>
                <w:szCs w:val="20"/>
              </w:rPr>
            </w:pPr>
          </w:p>
        </w:tc>
        <w:tc>
          <w:tcPr>
            <w:tcW w:w="3690"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天然气</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0"/>
                <w:szCs w:val="20"/>
              </w:rPr>
            </w:pPr>
          </w:p>
        </w:tc>
        <w:tc>
          <w:tcPr>
            <w:tcW w:w="369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煤</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0"/>
                <w:szCs w:val="20"/>
              </w:rPr>
            </w:pPr>
          </w:p>
        </w:tc>
        <w:tc>
          <w:tcPr>
            <w:tcW w:w="3690" w:type="dxa"/>
            <w:gridSpan w:val="2"/>
            <w:vMerge w:val="continue"/>
            <w:tcBorders>
              <w:top w:val="nil"/>
              <w:left w:val="single" w:color="auto" w:sz="8" w:space="0"/>
              <w:bottom w:val="nil"/>
              <w:right w:val="single" w:color="auto" w:sz="8"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3690"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煤成（层）气</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3690"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石煤</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3690" w:type="dxa"/>
            <w:gridSpan w:val="2"/>
            <w:vMerge w:val="continue"/>
            <w:tcBorders>
              <w:top w:val="nil"/>
              <w:left w:val="single" w:color="auto" w:sz="8" w:space="0"/>
              <w:bottom w:val="nil"/>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rPr>
            </w:pPr>
          </w:p>
        </w:tc>
        <w:tc>
          <w:tcPr>
            <w:tcW w:w="1045" w:type="dxa"/>
            <w:vMerge w:val="restart"/>
            <w:tcBorders>
              <w:top w:val="single" w:color="auto" w:sz="8" w:space="0"/>
              <w:left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地热</w:t>
            </w:r>
          </w:p>
        </w:tc>
        <w:tc>
          <w:tcPr>
            <w:tcW w:w="264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采灌平衡型</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1元／立方米</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rPr>
            </w:pPr>
          </w:p>
        </w:tc>
        <w:tc>
          <w:tcPr>
            <w:tcW w:w="1045" w:type="dxa"/>
            <w:vMerge w:val="continue"/>
            <w:tcBorders>
              <w:left w:val="single" w:color="auto" w:sz="8" w:space="0"/>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p>
        </w:tc>
        <w:tc>
          <w:tcPr>
            <w:tcW w:w="2645" w:type="dxa"/>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消耗型</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12元/立方米</w:t>
            </w:r>
          </w:p>
        </w:tc>
      </w:tr>
      <w:tr>
        <w:tblPrEx>
          <w:tblLayout w:type="fixed"/>
          <w:tblCellMar>
            <w:top w:w="0" w:type="dxa"/>
            <w:left w:w="108" w:type="dxa"/>
            <w:bottom w:w="0" w:type="dxa"/>
            <w:right w:w="108" w:type="dxa"/>
          </w:tblCellMar>
        </w:tblPrEx>
        <w:trPr>
          <w:trHeight w:val="454" w:hRule="exact"/>
          <w:jc w:val="center"/>
        </w:trPr>
        <w:tc>
          <w:tcPr>
            <w:tcW w:w="1568" w:type="dxa"/>
            <w:vMerge w:val="restart"/>
            <w:tcBorders>
              <w:top w:val="nil"/>
              <w:left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金属矿产</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（14个）</w:t>
            </w:r>
          </w:p>
        </w:tc>
        <w:tc>
          <w:tcPr>
            <w:tcW w:w="1045" w:type="dxa"/>
            <w:vMerge w:val="restart"/>
            <w:tcBorders>
              <w:top w:val="nil"/>
              <w:left w:val="nil"/>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黑色金属</w:t>
            </w:r>
          </w:p>
          <w:p>
            <w:pPr>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（3个）</w:t>
            </w: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0"/>
                <w:szCs w:val="20"/>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锰</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钒</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restart"/>
            <w:tcBorders>
              <w:top w:val="nil"/>
              <w:left w:val="nil"/>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有色金属</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（11个）</w:t>
            </w: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铅、锌</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1045" w:type="dxa"/>
            <w:vMerge w:val="continue"/>
            <w:tcBorders>
              <w:left w:val="nil"/>
              <w:right w:val="single" w:color="auto" w:sz="8" w:space="0"/>
            </w:tcBorders>
            <w:shd w:val="clear" w:color="000000" w:fill="FFFFFF"/>
            <w:vAlign w:val="center"/>
          </w:tcPr>
          <w:p>
            <w:pPr>
              <w:jc w:val="left"/>
              <w:rPr>
                <w:rFonts w:hint="eastAsia" w:ascii="宋体" w:hAnsi="宋体" w:eastAsia="宋体" w:cs="宋体"/>
                <w:color w:val="000000"/>
                <w:kern w:val="0"/>
                <w:sz w:val="22"/>
              </w:rPr>
            </w:pPr>
          </w:p>
        </w:tc>
        <w:tc>
          <w:tcPr>
            <w:tcW w:w="264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镍、锑、锂</w:t>
            </w: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Layout w:type="fixed"/>
          <w:tblCellMar>
            <w:top w:w="0" w:type="dxa"/>
            <w:left w:w="108" w:type="dxa"/>
            <w:bottom w:w="0" w:type="dxa"/>
            <w:right w:w="108" w:type="dxa"/>
          </w:tblCellMar>
        </w:tblPrEx>
        <w:trPr>
          <w:trHeight w:val="454" w:hRule="exact"/>
          <w:jc w:val="center"/>
        </w:trPr>
        <w:tc>
          <w:tcPr>
            <w:tcW w:w="1568" w:type="dxa"/>
            <w:vMerge w:val="continue"/>
            <w:tcBorders>
              <w:left w:val="single" w:color="auto" w:sz="8" w:space="0"/>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rPr>
            </w:pPr>
          </w:p>
        </w:tc>
        <w:tc>
          <w:tcPr>
            <w:tcW w:w="1045" w:type="dxa"/>
            <w:vMerge w:val="continue"/>
            <w:tcBorders>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0"/>
                <w:szCs w:val="20"/>
              </w:rPr>
            </w:pPr>
          </w:p>
        </w:tc>
        <w:tc>
          <w:tcPr>
            <w:tcW w:w="1080"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tbl>
      <w:tblPr>
        <w:tblStyle w:val="6"/>
        <w:tblW w:w="78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00"/>
        <w:gridCol w:w="1213"/>
        <w:gridCol w:w="2645"/>
        <w:gridCol w:w="1080"/>
        <w:gridCol w:w="15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5258" w:type="dxa"/>
            <w:gridSpan w:val="3"/>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税目</w:t>
            </w:r>
          </w:p>
        </w:tc>
        <w:tc>
          <w:tcPr>
            <w:tcW w:w="1080"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征税对象</w:t>
            </w:r>
          </w:p>
        </w:tc>
        <w:tc>
          <w:tcPr>
            <w:tcW w:w="1553"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金属矿产</w:t>
            </w:r>
          </w:p>
          <w:p>
            <w:pPr>
              <w:jc w:val="center"/>
              <w:rPr>
                <w:rFonts w:hint="eastAsia" w:ascii="宋体" w:hAnsi="宋体" w:eastAsia="宋体" w:cs="宋体"/>
                <w:color w:val="000000"/>
                <w:kern w:val="0"/>
                <w:sz w:val="22"/>
              </w:rPr>
            </w:pPr>
            <w:r>
              <w:rPr>
                <w:rFonts w:hint="eastAsia" w:ascii="宋体" w:hAnsi="宋体" w:eastAsia="宋体" w:cs="宋体"/>
                <w:color w:val="000000"/>
                <w:kern w:val="0"/>
                <w:sz w:val="20"/>
                <w:szCs w:val="20"/>
              </w:rPr>
              <w:t>（14个）</w:t>
            </w: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有色金属</w:t>
            </w:r>
          </w:p>
          <w:p>
            <w:pPr>
              <w:jc w:val="center"/>
              <w:rPr>
                <w:rFonts w:hint="eastAsia" w:ascii="宋体" w:hAnsi="宋体" w:eastAsia="宋体" w:cs="宋体"/>
                <w:color w:val="000000"/>
                <w:kern w:val="0"/>
                <w:sz w:val="22"/>
              </w:rPr>
            </w:pPr>
            <w:r>
              <w:rPr>
                <w:rFonts w:hint="eastAsia" w:ascii="宋体" w:hAnsi="宋体" w:eastAsia="宋体" w:cs="宋体"/>
                <w:color w:val="000000"/>
                <w:kern w:val="0"/>
                <w:sz w:val="20"/>
                <w:szCs w:val="20"/>
              </w:rPr>
              <w:t>（11个）</w:t>
            </w: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铝土矿</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钨</w:t>
            </w:r>
          </w:p>
        </w:tc>
        <w:tc>
          <w:tcPr>
            <w:tcW w:w="1080" w:type="dxa"/>
            <w:shd w:val="clear" w:color="000000" w:fill="FFFFFF"/>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钼</w:t>
            </w:r>
          </w:p>
        </w:tc>
        <w:tc>
          <w:tcPr>
            <w:tcW w:w="1080" w:type="dxa"/>
            <w:shd w:val="clear" w:color="000000" w:fill="FFFFFF"/>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银</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非金属矿产</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（52个）</w:t>
            </w: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矿物类</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（32个）</w:t>
            </w: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高岭土、膨润土</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石灰岩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石墨</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萤石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硫铁矿</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天然石英砂、脉石英、硅线石（矽线石）、珍珠岩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9"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蓝晶石、长石、陶瓷土、耐火粘土、伊利石粘土、石棉、石榴子石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6"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滑石、叶蜡石、硅灰石、方解石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1" w:hRule="exact"/>
          <w:jc w:val="center"/>
        </w:trPr>
        <w:tc>
          <w:tcPr>
            <w:tcW w:w="1400"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bl>
    <w:p>
      <w:pPr>
        <w:rPr>
          <w:rFonts w:hint="eastAsia" w:ascii="宋体" w:hAnsi="宋体" w:eastAsia="宋体" w:cs="宋体"/>
        </w:rPr>
      </w:pPr>
    </w:p>
    <w:tbl>
      <w:tblPr>
        <w:tblStyle w:val="6"/>
        <w:tblW w:w="78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00"/>
        <w:gridCol w:w="1213"/>
        <w:gridCol w:w="2645"/>
        <w:gridCol w:w="1080"/>
        <w:gridCol w:w="15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5258" w:type="dxa"/>
            <w:gridSpan w:val="3"/>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税目</w:t>
            </w:r>
          </w:p>
        </w:tc>
        <w:tc>
          <w:tcPr>
            <w:tcW w:w="1080"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征税对象</w:t>
            </w:r>
          </w:p>
        </w:tc>
        <w:tc>
          <w:tcPr>
            <w:tcW w:w="1553"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非金属矿产</w:t>
            </w:r>
          </w:p>
          <w:p>
            <w:pPr>
              <w:jc w:val="center"/>
              <w:rPr>
                <w:rFonts w:hint="eastAsia" w:ascii="宋体" w:hAnsi="宋体" w:eastAsia="宋体" w:cs="宋体"/>
                <w:color w:val="000000"/>
                <w:kern w:val="0"/>
                <w:sz w:val="22"/>
              </w:rPr>
            </w:pPr>
            <w:r>
              <w:rPr>
                <w:rFonts w:hint="eastAsia" w:ascii="宋体" w:hAnsi="宋体" w:eastAsia="宋体" w:cs="宋体"/>
                <w:color w:val="000000"/>
                <w:kern w:val="0"/>
                <w:sz w:val="20"/>
                <w:szCs w:val="20"/>
              </w:rPr>
              <w:t>（52个）</w:t>
            </w: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矿物类</w:t>
            </w:r>
          </w:p>
          <w:p>
            <w:pPr>
              <w:jc w:val="left"/>
              <w:rPr>
                <w:rFonts w:hint="eastAsia" w:ascii="宋体" w:hAnsi="宋体" w:eastAsia="宋体" w:cs="宋体"/>
                <w:color w:val="000000"/>
                <w:kern w:val="0"/>
                <w:sz w:val="22"/>
              </w:rPr>
            </w:pPr>
            <w:r>
              <w:rPr>
                <w:rFonts w:hint="eastAsia" w:ascii="宋体" w:hAnsi="宋体" w:eastAsia="宋体" w:cs="宋体"/>
                <w:color w:val="000000"/>
                <w:kern w:val="0"/>
                <w:sz w:val="20"/>
                <w:szCs w:val="20"/>
              </w:rPr>
              <w:t>（32个）</w:t>
            </w: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天然碱</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芒硝</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铁矾土</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透辉石、重晶石、蛭石、红柱石、石膏</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6"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云母、沸石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0"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其他粘土（铸型用粘土、砖瓦用粘土、陶粒用粘土、水泥配料用粘土、水泥配料用红土、水泥配料用黄土、水泥配料用泥岩、保温材料用粘土）</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3"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岩石类</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（19个）</w:t>
            </w: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大理岩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花岗岩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restar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石英岩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白云岩、安山岩、玄武岩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砂岩、辉绿岩、蛇纹岩、泥灰岩、天然油石、橄榄岩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5" w:hRule="exact"/>
          <w:jc w:val="center"/>
        </w:trPr>
        <w:tc>
          <w:tcPr>
            <w:tcW w:w="1400"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bl>
    <w:p>
      <w:pPr>
        <w:rPr>
          <w:rFonts w:hint="eastAsia" w:ascii="宋体" w:hAnsi="宋体" w:eastAsia="宋体" w:cs="宋体"/>
        </w:rPr>
      </w:pPr>
    </w:p>
    <w:tbl>
      <w:tblPr>
        <w:tblStyle w:val="6"/>
        <w:tblW w:w="78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00"/>
        <w:gridCol w:w="1213"/>
        <w:gridCol w:w="2645"/>
        <w:gridCol w:w="1080"/>
        <w:gridCol w:w="15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5258" w:type="dxa"/>
            <w:gridSpan w:val="3"/>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税目</w:t>
            </w:r>
          </w:p>
        </w:tc>
        <w:tc>
          <w:tcPr>
            <w:tcW w:w="1080"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征税对象</w:t>
            </w:r>
          </w:p>
        </w:tc>
        <w:tc>
          <w:tcPr>
            <w:tcW w:w="1553" w:type="dxa"/>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税率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非金属矿产</w:t>
            </w:r>
          </w:p>
          <w:p>
            <w:pPr>
              <w:jc w:val="center"/>
              <w:rPr>
                <w:rFonts w:hint="eastAsia" w:ascii="宋体" w:hAnsi="宋体" w:eastAsia="宋体" w:cs="宋体"/>
                <w:color w:val="000000"/>
                <w:kern w:val="0"/>
                <w:sz w:val="22"/>
              </w:rPr>
            </w:pPr>
            <w:r>
              <w:rPr>
                <w:rFonts w:hint="eastAsia" w:ascii="宋体" w:hAnsi="宋体" w:eastAsia="宋体" w:cs="宋体"/>
                <w:color w:val="000000"/>
                <w:kern w:val="0"/>
                <w:sz w:val="20"/>
                <w:szCs w:val="20"/>
              </w:rPr>
              <w:t>（52个）</w:t>
            </w: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岩石类</w:t>
            </w:r>
          </w:p>
          <w:p>
            <w:pPr>
              <w:jc w:val="center"/>
              <w:rPr>
                <w:rFonts w:hint="eastAsia" w:ascii="宋体" w:hAnsi="宋体" w:eastAsia="宋体" w:cs="宋体"/>
                <w:color w:val="000000"/>
                <w:kern w:val="0"/>
                <w:sz w:val="22"/>
              </w:rPr>
            </w:pPr>
            <w:r>
              <w:rPr>
                <w:rFonts w:hint="eastAsia" w:ascii="宋体" w:hAnsi="宋体" w:eastAsia="宋体" w:cs="宋体"/>
                <w:color w:val="000000"/>
                <w:kern w:val="0"/>
                <w:sz w:val="20"/>
                <w:szCs w:val="20"/>
              </w:rPr>
              <w:t>（19个）</w:t>
            </w:r>
          </w:p>
        </w:tc>
        <w:tc>
          <w:tcPr>
            <w:tcW w:w="2645" w:type="dxa"/>
            <w:vMerge w:val="restart"/>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板岩、浮石、凝灰岩、片麻岩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页岩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霞石正长岩</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jc w:val="left"/>
              <w:rPr>
                <w:rFonts w:hint="eastAsia" w:ascii="宋体" w:hAnsi="宋体" w:eastAsia="宋体" w:cs="宋体"/>
                <w:color w:val="000000"/>
                <w:kern w:val="0"/>
                <w:sz w:val="22"/>
              </w:rPr>
            </w:pP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砂石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2645" w:type="dxa"/>
            <w:vMerge w:val="continue"/>
            <w:shd w:val="clear" w:color="auto" w:fill="auto"/>
            <w:vAlign w:val="center"/>
          </w:tcPr>
          <w:p>
            <w:pPr>
              <w:widowControl/>
              <w:jc w:val="center"/>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3.5元/吨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exact"/>
          <w:jc w:val="center"/>
        </w:trPr>
        <w:tc>
          <w:tcPr>
            <w:tcW w:w="1400" w:type="dxa"/>
            <w:vMerge w:val="continue"/>
            <w:shd w:val="clear" w:color="000000" w:fill="FFFFFF"/>
            <w:vAlign w:val="center"/>
          </w:tcPr>
          <w:p>
            <w:pPr>
              <w:jc w:val="left"/>
              <w:rPr>
                <w:rFonts w:hint="eastAsia" w:ascii="宋体" w:hAnsi="宋体" w:eastAsia="宋体" w:cs="宋体"/>
                <w:color w:val="000000"/>
                <w:kern w:val="0"/>
                <w:sz w:val="22"/>
              </w:rPr>
            </w:pPr>
          </w:p>
        </w:tc>
        <w:tc>
          <w:tcPr>
            <w:tcW w:w="1213"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宝玉石类</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2645"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玉石</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5" w:hRule="exact"/>
          <w:jc w:val="center"/>
        </w:trPr>
        <w:tc>
          <w:tcPr>
            <w:tcW w:w="1400" w:type="dxa"/>
            <w:vMerge w:val="continue"/>
            <w:shd w:val="clear" w:color="000000" w:fill="FFFFFF"/>
            <w:vAlign w:val="center"/>
          </w:tcPr>
          <w:p>
            <w:pPr>
              <w:widowControl/>
              <w:jc w:val="left"/>
              <w:rPr>
                <w:rFonts w:hint="eastAsia" w:ascii="宋体" w:hAnsi="宋体" w:eastAsia="宋体" w:cs="宋体"/>
                <w:color w:val="000000"/>
                <w:kern w:val="0"/>
                <w:sz w:val="22"/>
              </w:rPr>
            </w:pPr>
          </w:p>
        </w:tc>
        <w:tc>
          <w:tcPr>
            <w:tcW w:w="1213" w:type="dxa"/>
            <w:vMerge w:val="continue"/>
            <w:shd w:val="clear" w:color="000000" w:fill="FFFFFF"/>
            <w:vAlign w:val="center"/>
          </w:tcPr>
          <w:p>
            <w:pPr>
              <w:widowControl/>
              <w:jc w:val="center"/>
              <w:rPr>
                <w:rFonts w:hint="eastAsia" w:ascii="宋体" w:hAnsi="宋体" w:eastAsia="宋体" w:cs="宋体"/>
                <w:color w:val="000000"/>
                <w:kern w:val="0"/>
                <w:sz w:val="20"/>
                <w:szCs w:val="20"/>
              </w:rPr>
            </w:pPr>
          </w:p>
        </w:tc>
        <w:tc>
          <w:tcPr>
            <w:tcW w:w="2645" w:type="dxa"/>
            <w:vMerge w:val="continue"/>
            <w:shd w:val="clear" w:color="auto" w:fill="auto"/>
            <w:vAlign w:val="center"/>
          </w:tcPr>
          <w:p>
            <w:pPr>
              <w:widowControl/>
              <w:jc w:val="left"/>
              <w:rPr>
                <w:rFonts w:hint="eastAsia" w:ascii="宋体" w:hAnsi="宋体" w:eastAsia="宋体" w:cs="宋体"/>
                <w:color w:val="000000"/>
                <w:kern w:val="0"/>
                <w:sz w:val="20"/>
                <w:szCs w:val="20"/>
              </w:rPr>
            </w:pP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3" w:hRule="atLeast"/>
          <w:jc w:val="center"/>
        </w:trPr>
        <w:tc>
          <w:tcPr>
            <w:tcW w:w="140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水气矿产</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（1个）</w:t>
            </w:r>
          </w:p>
        </w:tc>
        <w:tc>
          <w:tcPr>
            <w:tcW w:w="3858" w:type="dxa"/>
            <w:gridSpan w:val="2"/>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矿泉水</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12元/立方米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7" w:hRule="exact"/>
          <w:jc w:val="center"/>
        </w:trPr>
        <w:tc>
          <w:tcPr>
            <w:tcW w:w="1400" w:type="dxa"/>
            <w:vMerge w:val="restart"/>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盐</w:t>
            </w: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（2个）</w:t>
            </w:r>
          </w:p>
        </w:tc>
        <w:tc>
          <w:tcPr>
            <w:tcW w:w="3858" w:type="dxa"/>
            <w:gridSpan w:val="2"/>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钠盐</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4" w:hRule="exact"/>
          <w:jc w:val="center"/>
        </w:trPr>
        <w:tc>
          <w:tcPr>
            <w:tcW w:w="1400" w:type="dxa"/>
            <w:vMerge w:val="continue"/>
            <w:shd w:val="clear" w:color="000000" w:fill="FFFFFF"/>
            <w:vAlign w:val="center"/>
          </w:tcPr>
          <w:p>
            <w:pPr>
              <w:widowControl/>
              <w:jc w:val="center"/>
              <w:rPr>
                <w:rFonts w:hint="eastAsia" w:ascii="宋体" w:hAnsi="宋体" w:eastAsia="宋体" w:cs="宋体"/>
                <w:color w:val="000000"/>
                <w:kern w:val="0"/>
                <w:sz w:val="20"/>
                <w:szCs w:val="20"/>
              </w:rPr>
            </w:pPr>
          </w:p>
        </w:tc>
        <w:tc>
          <w:tcPr>
            <w:tcW w:w="3858" w:type="dxa"/>
            <w:gridSpan w:val="2"/>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天然卤水</w:t>
            </w:r>
          </w:p>
        </w:tc>
        <w:tc>
          <w:tcPr>
            <w:tcW w:w="1080"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原矿</w:t>
            </w:r>
          </w:p>
        </w:tc>
        <w:tc>
          <w:tcPr>
            <w:tcW w:w="1553" w:type="dxa"/>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7392C9A"/>
    <w:rsid w:val="1C420298"/>
    <w:rsid w:val="24F049DB"/>
    <w:rsid w:val="288229C9"/>
    <w:rsid w:val="29717AD0"/>
    <w:rsid w:val="29DB6648"/>
    <w:rsid w:val="3DCB42E3"/>
    <w:rsid w:val="44AB727C"/>
    <w:rsid w:val="53D629B1"/>
    <w:rsid w:val="547604FD"/>
    <w:rsid w:val="5FCB1E55"/>
    <w:rsid w:val="669A54D2"/>
    <w:rsid w:val="757611F0"/>
    <w:rsid w:val="79CF031C"/>
    <w:rsid w:val="7A2572B1"/>
    <w:rsid w:val="7C0568B0"/>
    <w:rsid w:val="7C464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Calibri" w:hAnsi="Calibri"/>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