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4" w:rightChars="-30"/>
        <w:jc w:val="center"/>
        <w:rPr>
          <w:rFonts w:ascii="宋体" w:hAnsi="宋体" w:eastAsia="宋体" w:cs="Arial"/>
          <w:bCs/>
          <w:szCs w:val="32"/>
        </w:rPr>
      </w:pPr>
    </w:p>
    <w:p>
      <w:pPr>
        <w:ind w:right="-94" w:rightChars="-30"/>
        <w:jc w:val="center"/>
        <w:rPr>
          <w:rFonts w:ascii="宋体" w:hAnsi="宋体" w:eastAsia="宋体" w:cs="Arial"/>
          <w:bCs/>
          <w:szCs w:val="32"/>
        </w:rPr>
      </w:pPr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r>
        <w:rPr>
          <w:rFonts w:hint="eastAsia" w:ascii="宋体" w:hAnsi="宋体" w:eastAsia="宋体" w:cs="Arial"/>
          <w:bCs/>
          <w:sz w:val="44"/>
          <w:szCs w:val="44"/>
        </w:rPr>
        <w:t>湖南省人民代表大会常务委员会关于资源税</w:t>
      </w:r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r>
        <w:rPr>
          <w:rFonts w:hint="eastAsia" w:ascii="宋体" w:hAnsi="宋体" w:eastAsia="宋体" w:cs="Arial"/>
          <w:bCs/>
          <w:sz w:val="44"/>
          <w:szCs w:val="44"/>
        </w:rPr>
        <w:t>具体适用税率等事项的决定</w:t>
      </w:r>
    </w:p>
    <w:p>
      <w:pPr>
        <w:ind w:left="632" w:leftChars="200" w:right="632" w:rightChars="200"/>
        <w:jc w:val="center"/>
        <w:rPr>
          <w:rFonts w:hint="eastAsia" w:ascii="楷体_GB2312" w:hAnsi="Arial" w:eastAsia="楷体_GB2312" w:cs="Arial"/>
          <w:szCs w:val="32"/>
          <w:lang w:eastAsia="zh-CN"/>
        </w:rPr>
      </w:pPr>
      <w:r>
        <w:rPr>
          <w:rFonts w:hint="eastAsia" w:ascii="楷体_GB2312" w:hAnsi="Arial" w:eastAsia="楷体_GB2312" w:cs="Arial"/>
          <w:szCs w:val="32"/>
        </w:rPr>
        <w:t>（</w:t>
      </w:r>
      <w:r>
        <w:rPr>
          <w:rFonts w:hint="eastAsia" w:ascii="楷体_GB2312" w:hAnsi="Arial" w:eastAsia="楷体_GB2312" w:cs="Arial"/>
          <w:szCs w:val="32"/>
          <w:lang w:eastAsia="zh-CN"/>
        </w:rPr>
        <w:t>2020年7月30日湖南省第十三届人民代表大会</w:t>
      </w:r>
    </w:p>
    <w:p>
      <w:pPr>
        <w:ind w:left="632" w:leftChars="200" w:right="632" w:rightChars="200"/>
        <w:jc w:val="center"/>
        <w:rPr>
          <w:rFonts w:hint="eastAsia" w:ascii="楷体_GB2312" w:hAnsi="Arial" w:eastAsia="楷体_GB2312" w:cs="Arial"/>
          <w:szCs w:val="32"/>
        </w:rPr>
      </w:pPr>
      <w:r>
        <w:rPr>
          <w:rFonts w:hint="eastAsia" w:ascii="楷体_GB2312" w:hAnsi="Arial" w:eastAsia="楷体_GB2312" w:cs="Arial"/>
          <w:szCs w:val="32"/>
          <w:lang w:eastAsia="zh-CN"/>
        </w:rPr>
        <w:t>常务委员会第十九次会议通过</w:t>
      </w:r>
      <w:r>
        <w:rPr>
          <w:rFonts w:hint="eastAsia" w:ascii="楷体_GB2312" w:hAnsi="Arial" w:eastAsia="楷体_GB2312" w:cs="Arial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为了促进资源节约集约利用、保护生态环境，根据《中华人民共和国资源税法》（以下简称资源税法）授权规定，结合本省实际，对本省资源税有关事项决定如下：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一、资源税法规定实行幅度税率的税目，具体适用税率按照《湖南省资源税税目税率表》执行。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二、资源税法规定可以选择实行从价计征或者从量计征的税目中，石灰岩、砂石资源税实行从价计征；地热、其他粘土、矿泉水资源税实行从量计征。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三、符合资源税法第七条有关规定的，按照以下办法减征或者免征资源税：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（一）开采或者生产应税产品过程中，因意外事故或者自然灾害等原因遭受重大损失的，按照当年应纳税额的百分之五十减征资源税；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（二）开采共生矿，共生矿与主矿产品销售额分开核算的，对共生矿按照其应纳税额的百分之十减征资源税；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（三）开采伴生矿，伴生矿与主矿产品销售额分开核算的，对伴生矿按照其应纳税额的百分之三十减征资源税；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（四）开采利用尾矿，免征资源税。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纳税人符合上述规定的，可以申报享受税收优惠政策，并将相关材料留存备查。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税务机关与自然资源、应急管理、水利等部门应当建立工作配合机制。根据工作需要，税务机关可以要求自然资源、应急管理、水利等部门提供共伴生矿、尾矿、自然灾害、意外事故等证明材料以及与减免税相关的其他信息，相关部门应当在税务机关送达书面函件的三十日内给予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本决定自2020年9月1日起施行。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附件：湖南省资源税税目税率表</w:t>
      </w:r>
    </w:p>
    <w:p>
      <w:pPr>
        <w:spacing w:line="600" w:lineRule="exact"/>
        <w:ind w:firstLine="632" w:firstLineChars="200"/>
        <w:rPr>
          <w:rFonts w:hint="eastAsia" w:ascii="仿宋" w:hAnsi="仿宋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32" w:firstLineChars="200"/>
        <w:rPr>
          <w:rFonts w:ascii="仿宋" w:hAnsi="仿宋" w:eastAsia="仿宋_GB2312"/>
          <w:b/>
          <w:bCs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" w:hAnsi="仿宋" w:eastAsia="仿宋_GB2312"/>
          <w:b/>
          <w:color w:val="000000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240" w:lineRule="exact"/>
        <w:rPr>
          <w:rFonts w:hint="eastAsia" w:ascii="黑体" w:eastAsia="黑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46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pacing w:val="-4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-4"/>
          <w:sz w:val="44"/>
          <w:szCs w:val="44"/>
        </w:rPr>
        <w:t>湖南省资源税税目税率表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60"/>
        <w:gridCol w:w="3600"/>
        <w:gridCol w:w="160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58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税  目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征税对象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能源矿产</w:t>
            </w:r>
          </w:p>
        </w:tc>
        <w:tc>
          <w:tcPr>
            <w:tcW w:w="48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煤、石煤、天然沥青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煤成（层）气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地热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金属矿产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黑色金属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锰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钒、钛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有色金属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铜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铅、锌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锡、镍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锑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银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钴、锂、锗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铝土矿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金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铂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铌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轻稀土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铍、锆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镁、铋、汞、铷、铯、镓、铟、铊、铪、铼、镉、硒、碲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钽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非金属矿产</w:t>
            </w: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矿物类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高岭土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石灰岩、砷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石墨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萤石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硫铁矿、芒硝、硼、重晶石、透辉石、透闪石、红柱石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天然石英砂、脉石英、水晶、耐火粘土、海泡石粘土、硅灰石、方解石、云母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粉石英、长石、石榴子石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滑石、石膏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膨润土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陶瓷土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岩石类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大理岩、花岗岩、闪长岩、辉长岩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白云岩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石英岩、辉绿岩、玄武岩、片麻岩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砂岩、板岩、页岩、泥炭、砂石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凝灰岩、泥灰岩、含钾砂页岩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宝玉石类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玉石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水气矿产</w:t>
            </w: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矿泉水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原矿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3.5元/立方米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盐</w:t>
            </w: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钠盐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选矿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4%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929" w:hangingChars="294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备注：根据《中华人民共和国资源税法》规定，除上述89个税目外，以下5个税目实行全国统一的固定税率：钨，选矿6.5%；钼，选矿8%；中重稀土，选矿20%；铀、钍，原矿4%。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32" w:firstLineChars="200"/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</w:pPr>
      <w:bookmarkStart w:id="0" w:name="_GoBack"/>
      <w:bookmarkEnd w:id="0"/>
    </w:p>
    <w:p>
      <w:pPr>
        <w:ind w:right="-94" w:rightChars="-30" w:firstLine="632" w:firstLineChars="200"/>
        <w:rPr>
          <w:rFonts w:hint="eastAsia" w:ascii="仿宋_GB2312" w:hAnsi="Arial" w:cs="Arial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03F"/>
    <w:rsid w:val="00005CBA"/>
    <w:rsid w:val="000F7DA8"/>
    <w:rsid w:val="0013352A"/>
    <w:rsid w:val="002E3D11"/>
    <w:rsid w:val="00315BE5"/>
    <w:rsid w:val="00353AD7"/>
    <w:rsid w:val="004A7F50"/>
    <w:rsid w:val="004F542C"/>
    <w:rsid w:val="005C49EF"/>
    <w:rsid w:val="005C72EF"/>
    <w:rsid w:val="00616EB4"/>
    <w:rsid w:val="006D3381"/>
    <w:rsid w:val="00791E20"/>
    <w:rsid w:val="007A6644"/>
    <w:rsid w:val="00867A37"/>
    <w:rsid w:val="00A731D0"/>
    <w:rsid w:val="00A87604"/>
    <w:rsid w:val="00BB0938"/>
    <w:rsid w:val="00BF378A"/>
    <w:rsid w:val="00C16EFC"/>
    <w:rsid w:val="00D0095F"/>
    <w:rsid w:val="00D625F1"/>
    <w:rsid w:val="00D64B65"/>
    <w:rsid w:val="00DB7DE9"/>
    <w:rsid w:val="00DC4D4C"/>
    <w:rsid w:val="00F72984"/>
    <w:rsid w:val="00FA7EE2"/>
    <w:rsid w:val="13FC4C56"/>
    <w:rsid w:val="1EACAF81"/>
    <w:rsid w:val="76EDDE36"/>
    <w:rsid w:val="DF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paragraph" w:customStyle="1" w:styleId="9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7</TotalTime>
  <ScaleCrop>false</ScaleCrop>
  <LinksUpToDate>false</LinksUpToDate>
  <CharactersWithSpaces>197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2017-10-18T09:03:00Z</dcterms:created>
  <dc:creator>YF-INT6</dc:creator>
  <cp:lastModifiedBy>lenovo</cp:lastModifiedBy>
  <dcterms:modified xsi:type="dcterms:W3CDTF">2020-08-26T09:13:03Z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