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湖南省大气污染防治条例</w:t>
      </w:r>
    </w:p>
    <w:p>
      <w:pPr>
        <w:keepNext w:val="0"/>
        <w:keepLines w:val="0"/>
        <w:pageBreakBefore w:val="0"/>
        <w:widowControl w:val="0"/>
        <w:kinsoku/>
        <w:wordWrap/>
        <w:overflowPunct/>
        <w:topLinePunct w:val="0"/>
        <w:autoSpaceDE/>
        <w:autoSpaceDN/>
        <w:bidi w:val="0"/>
        <w:adjustRightInd/>
        <w:snapToGrid w:val="0"/>
        <w:spacing w:line="240" w:lineRule="auto"/>
        <w:ind w:left="632" w:leftChars="200" w:right="632" w:rightChars="20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textAlignment w:val="auto"/>
        <w:outlineLvl w:val="9"/>
        <w:rPr>
          <w:rFonts w:hint="eastAsia" w:ascii="楷体_GB2312" w:eastAsia="楷体_GB2312"/>
          <w:szCs w:val="32"/>
          <w:lang w:val="en-US" w:eastAsia="zh-CN"/>
        </w:rPr>
      </w:pPr>
      <w:r>
        <w:rPr>
          <w:rFonts w:hint="eastAsia" w:ascii="楷体_GB2312" w:eastAsia="楷体_GB2312"/>
          <w:szCs w:val="32"/>
          <w:lang w:val="en-US" w:eastAsia="zh-CN"/>
        </w:rPr>
        <w:t>(2017年3月31日湖南省第十二届人民代表大会常务委员会第二十九次会</w:t>
      </w:r>
      <w:bookmarkStart w:id="0" w:name="_GoBack"/>
      <w:bookmarkEnd w:id="0"/>
      <w:r>
        <w:rPr>
          <w:rFonts w:hint="eastAsia" w:ascii="楷体_GB2312" w:eastAsia="楷体_GB2312"/>
          <w:szCs w:val="32"/>
          <w:lang w:val="en-US" w:eastAsia="zh-CN"/>
        </w:rPr>
        <w:t>议通过  根据2020年6月12日湖南省第十三届人民代表大会常务委员会第十八次会议《关于修改&lt;湖南省实施中华人民共和国城市居民委员会组织法办法&gt;等二十一件地方性法规的决定》修正)</w:t>
      </w:r>
    </w:p>
    <w:p>
      <w:pPr>
        <w:keepNext w:val="0"/>
        <w:keepLines w:val="0"/>
        <w:pageBreakBefore w:val="0"/>
        <w:widowControl w:val="0"/>
        <w:kinsoku/>
        <w:wordWrap/>
        <w:overflowPunct/>
        <w:topLinePunct w:val="0"/>
        <w:autoSpaceDE/>
        <w:autoSpaceDN/>
        <w:bidi w:val="0"/>
        <w:adjustRightInd/>
        <w:snapToGrid w:val="0"/>
        <w:spacing w:line="240" w:lineRule="auto"/>
        <w:ind w:left="632" w:leftChars="200" w:right="632" w:rightChars="200"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根据《中华人民共和国环境保护法》、《中华人民共和国大气污染防治法》，结合本省实际，制定本条例。</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县级以上人民政府应当对本行政区域内大气环境质量负责，将大气污染防治工作纳入国民经济和社会发展规划，合理规划城镇布局和工业发展布局，优化产业结构和能源结构，加大对大气污染防治的财政投入，建立大气污染防治责任考核机制，加强环境执法队伍建设，提高环境监督管理能力，改善大气环境质量。</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乡镇人民政府、街道办事处应当按照上级人民政府的工作安排，根据本地区的实际，组织开展大气污染防治工作。</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县级以上人民政府生态环境主管部门对大气污染防治实施统一监督管理。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县级以上人民政府发展和改革、工业和信息化、公安、财政、自然资源、农业农村、林业、住房和城乡建设、交通运输、商务、市场监督管理、气象等主管部门在各自职责范围内对大气污染防治实施监督管理。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村(居)民委员会应当协助做好大气污染防治相关工作，发现大气污染违法行为应当予以劝阻，并及时报告乡镇人民政府、街道办事处或者县级人民政府生态环境主管部门。</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sz w:val="32"/>
          <w:szCs w:val="32"/>
          <w:lang w:val="en-US" w:eastAsia="zh-CN"/>
        </w:rPr>
        <w:t xml:space="preserve">  企业和其他生产经营者应当保障必要的环境保护投入，采用有效的大气污染防治技术，防止、减少生产经营对大气造成的污染，并依法承担相关责任。</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其他单位和个人应当采取有效措施，防止、减少工作、生活等活动对大气造成的污染，共同改善大气环境质量。</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县级以上人民政府应当组织生态环境、工业和信息化、住房和城乡建设等主管部门加强大气环境保护宣传，普及大气环境保护知识，提高公众的大气环境保护意识。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县级以上人民政府教育主管部门应当逐步推进环境保护教育，将大气环境保护知识纳入学校教育内容，培养青少年的大气环境保护意识。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县级以上人民政府生态环境主管部门可以聘请社会监督员，协助监督大气污染防治工作。</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生态环境主管部门和其他负有大气环境保护监督管理职责的主管部门应当公布举报电话、电子邮箱、网络平台，接受并及时处理公民、法人和其他组织对污染大气的行为和不依法履行大气环境保护监督管理职责的行为的举报。</w:t>
      </w:r>
    </w:p>
    <w:p>
      <w:pPr>
        <w:keepNext w:val="0"/>
        <w:keepLines w:val="0"/>
        <w:pageBreakBefore w:val="0"/>
        <w:widowControl w:val="0"/>
        <w:kinsoku/>
        <w:wordWrap/>
        <w:overflowPunct/>
        <w:topLinePunct w:val="0"/>
        <w:autoSpaceDE/>
        <w:autoSpaceDN/>
        <w:bidi w:val="0"/>
        <w:adjustRightInd/>
        <w:snapToGrid w:val="0"/>
        <w:spacing w:line="57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防治措施</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本省实施煤炭消费总量控制制度。</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省人民政府发展和改革主管部门应当会同有关主管部门制定煤炭消费总量中长期控制目标，确定煤炭消费总量控制方案和实施步骤。</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sz w:val="32"/>
          <w:szCs w:val="32"/>
          <w:lang w:val="en-US" w:eastAsia="zh-CN"/>
        </w:rPr>
        <w:t xml:space="preserve"> 新建燃煤发电机组(含热电联产)应当采用烟气超低排放等技术;现有燃煤发电机组(含热电联产)应当限期实行超低排放改造。电力调度单位应当优先安排使用清洁能源的发电机组和超低排放燃煤发电机组发电上网。</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县级以上人民政府发展和改革主管部门应当会同生态环境、工业和信息化、市场监督管理等主管部门，限期淘汰不符合国家规定的燃煤锅炉，加快改造燃煤锅炉和燃煤工业窑炉，推广使用清洁燃料。</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鼓励城市建成区、工业园区等实行集中供热。在集中供热管网覆盖区域内，禁止新建、改建、扩建分散燃煤锅炉，集中供热管网覆盖前已建成使用的分散燃煤锅炉应当限期停止使用。</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设区的市、自治州、县(市、区)人民政府应当划定并公布高污染燃料禁燃区，报省人民政府生态环境主管部门备案。高污染燃料禁燃区面积应当逐步扩大。长沙市、株洲市、湘潭市城市建成区可以划定为高污染燃料禁燃区。</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钢铁、水泥、有色金属、石油、化工等行业中的大气重污染工业项目应当按照国家和省有关规定开展强制性清洁生产审核，实施清洁生产技术改造。</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城市规划区禁止新建烧制建筑用砖厂;已经建成的，设区的市、自治州、县(市、区)人民政府应当依法关停，并予以处理。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省人民政府生态环境主管部门应当会同市场监督管理等主管部门，制定化工、印染、包装印刷、涂装等重点行业的挥发性有机物排放标准。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省人民政府生态环境主管部门应当根据挥发性有机物排放标准和行业特点，制定挥发性有机物污染防治操作规程，指导排污单位组织实施。</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鼓励生产、使用低挥发性有机物含量的原料和产品。</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在化工、印染、包装印刷、涂装、家具制造等行业逐步推进低挥发性有机物含量原料和产品的使用。产生挥发性有机物的企业应当建立台账，记录生产原料、辅料的使用量、废弃量、去向以及挥发性有机物含量。</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设区的市、自治州人民政府可以根据本行政区域大气环境质量状况和机动车排放污染程度，划定禁止或者限制高排放机动车行驶的区域和时段，并向社会公布。</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设区的市、自治州应当根据城市规划大力发展城市公共交通，鼓励发展低排量、新能源汽车。确需控制燃油机动车保有量的，应当依法举行听证。</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县级以上人民政府应当加强并改善城市交通管理，优化道路和公共交通线路设置，保障人行道和非机动车道的连续、畅通，方便公众选择公共交通、自行车、步行的方式出行，减少机动车排放污染。</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禁止生产、销售、使用不符合国家标准和本省有关标准的机动车船用燃料。县级以上人民政府工业和信息化、商务、市场监督管理主管部门应当按照各自职责，加强监督管理，定期对机动车船用燃料质量进行监督抽查，并向社会公布抽查结果。</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sz w:val="32"/>
          <w:szCs w:val="32"/>
          <w:lang w:val="en-US" w:eastAsia="zh-CN"/>
        </w:rPr>
        <w:t xml:space="preserve"> 在用机动船舶排放大气污染物不得超过国家和本省规定的排放标准;超过规定排放标准的，应当进行设备更新、维修或者采用污染控制技术等措施;经采取相应措施后，仍不符合规定排放标准的，应当停止运营。</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禁止机动船舶使用渣油、重油。</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禁止在内河水域焚烧船舶垃圾。</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新建码头应当规划、建设岸基供电设施;已建成的码头应当逐步实施岸基供电设施改造。船舶靠港后应当优先使用岸电。</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发展和改革主管部门应当将岸基供电设施建设纳入清洁能源利用发展规划;工业和信息化主管部门会同有关主管部门推进岸基供电设施的建设和改造;交通运输主管部门会同有关主管部门推进船舶油气动力系统和使用岸电系统的改造。</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排放油烟的餐饮服务经营者应当按照规定安装油烟净化设施并保持正常使用，或者采取其他油烟净化措施，保证油烟达标排放。鼓励大型餐饮服务企业和食堂安装油烟在线监测设施。</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配套设立专用烟道的居民住宅楼、商住综合楼，居民家庭和有关单位应当通过专用烟道排放油烟，不得封堵、改变专用烟道，不得直接向大气排放油烟。未配套设立专用烟道的居民住宅楼，鼓励安装油烟净化装置或者采取其他油烟净化措施，减少油烟排放。</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新建居民住宅楼、商住综合楼应当配合建设专用烟道。</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城市规划区内裸露地面应当按照下列规定进行扬尘污染防治：</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(一)市政道路以及河道沿线、公共用地的裸露地面，由相关主管部门组织实施绿化、透水铺装或者覆盖;</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(二)暂时不能开工的建设用地，由土地使用权人、建设单位对裸露地面采取设置防尘网或者防尘布等措施进行覆盖,不能开工超过三个月的，应当进行绿化、透水铺装;</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(三)其他裸露地面由土地使用权人、管理单位进行绿化、透水铺装或者覆盖。</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县级以上人民政府可以根据扬尘污染防治的需要，划定禁止从事矿石开采和加工等容易产生扬尘污染活动的区域。</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矿山开采应当实施分区作业，做到边开采、边治理，及时修复生态环境。废石、废渣、泥土等应当集中堆放，并采取围挡、设置防风抑尘网、防尘网或者防尘布等措施;施工便道应当进行硬化并做到无明显积尘。</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采矿权人在采矿过程中以及停止开采或者关闭矿山前，应当整修被损坏的道路和露天采矿场的边坡、断面，恢复植被，并按照规定处置矿山开采废弃物，整治和恢复矿山地质环境，防止扬尘污染。</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县级以上人民政府及其有关主管部门应当鼓励和支持采用先进适用技术，对秸秆、落叶等进行综合利用。禁止在人口集中地区、机场周围、交通干线附近等区域露天焚烧秸秆、落叶、垃圾等产生烟尘污染的物质。具体范围由设区的市、自治州、县(市、区)人民政府划定，并向社会公布。</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县级以上人民政府农业农村主管部门应当建立健全禁止露天焚烧秸秆监管机制，利用遥感监测等技术手段进行监督抽测。</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设区的市、自治州、县(市、区)人民政府应当根据气象条件和大气环境质量状况，对燃放烟花爆竹的管理作出规定。</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省人民政府生态环境主管部门应当划定本省大气污染防治重点区域，报省人民政府批准，并向社会公布。</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生态环境主管部门应当会同大气污染防治重点区域的设区的市、自治州人民政府按照《中华人民共和国大气污染防治法》规定实施大气污染联合防治。在大气污染重点区域城市建成区内禁止新建、扩建钢铁、水泥、有色金属、石油、化工等重污染企业以及新增产能项目。</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省人民政府应当在长沙市、株洲市、湘潭市和其他大气污染防治重点区域提前执行国家大气污染物排放标准中排放限值。</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大气污染防治重点区域设区的市、自治州人民政府可以根据气象条件和大气环境质量状况确定本行政区域大气污染防治特护期。在特护期内，设区的市、自治州、县(市、区)人民政府可以采取下列措施：</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(一)禁止燃放烟花爆竹;</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(二)限制燃油机动车行驶;</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(三)责令停止露天烧烤、工地土石方作业和建筑物拆除施工;</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(四)责令高排放大气污染物工业企业停产、限产;</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(五)国家和本省规定的其他措施。</w:t>
      </w:r>
    </w:p>
    <w:p>
      <w:pPr>
        <w:keepNext w:val="0"/>
        <w:keepLines w:val="0"/>
        <w:pageBreakBefore w:val="0"/>
        <w:widowControl w:val="0"/>
        <w:kinsoku/>
        <w:wordWrap/>
        <w:overflowPunct/>
        <w:topLinePunct w:val="0"/>
        <w:autoSpaceDE/>
        <w:autoSpaceDN/>
        <w:bidi w:val="0"/>
        <w:adjustRightInd/>
        <w:snapToGrid w:val="0"/>
        <w:spacing w:line="570" w:lineRule="exact"/>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设区的市、自治州、县(市)人民政府在编制或者修改城市规划时，应当按照有利于大气污染物扩散的原则，合理规划城市建设空间布局，规划城市风道，扩大绿地、水面、湿地面积。</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未达到国家大气环境质量标准的城市人民政府应当及时编制大气环境质量限期达标规划，采取措施，按照规定的期限达到大气环境质量标准。</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大气环境质量限期达标规划应当对本行政区域环境质量及其影响因素进行分析，确定分阶段大气环境质量改善目标，明确相应责任主体、工作重点和保障措施。</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省人民政府应当按照国务院下达的重点大气污染物总量控制目标和国务院生态环境主管部门规定的分解总量控制指标要求，综合考虑区域经济社会发展水平、产业结构、大气环境质量状况等因素，将重点大气污染物排放总量控制指标进行分解落实。设区的市、自治州、县(市、区)人民政府应当按照省人民政府的要求，制定年度总量控制计划，控制本行政区域重点大气污染物排放总量。</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省人民政府可以根据本省实际情况，对其他大气污染物排放实行总量控制。</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对未完成国家和省下达的大气环境质量改善目标或者超过重点大气污染物排放总量控制指标的地区，省人民政府生态环境主管部门应当会同有关主管部门约谈该地区人民政府的主要负责人。约谈可以邀请媒体以及相关公众代表列席。约谈针对的主要问题、整改措施和要求等情况应当向社会公开。</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省人民政府生态环境主管部门应当会同有关部门督促被约谈地区的人民政府采取措施落实约谈要求，并对整改情况进行监督检查。</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省、设区的市、自治州人民政府应当依托公共资源交易平台，推行重点大气污染物排污权交易。具体办法由省人民政府制定。</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省人民政府发展和改革主管部门应当会同工业和信息化、生态环境、市场监督管理等主管部门，按照国家淘汰严重污染大气环境的工艺、设备、产品目录和淘汰期限，编制本省淘汰严重污染大气环境的工艺、设备、产品目录和淘汰期限，报省人民政府批准后公布实施。</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省人民政府生态环境主管部门应当加强设区的市、自治州大气环境质量和大气污染源监测，每月公布其上一个月的空气质量和排名情况。</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省人民政府对设区的市、自治州、县(市)人民政府大气环境质量改善目标、大气污染防治重点任务和重点大气污染物排放总量控制指标完成情况进行考核，并根据考核结果实行奖惩，具体办法由省人民政府制定。考核结果和奖惩情况在省人民政府门户网站和省主要媒体公布。</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各级人民政府、县级以上人民政府生态环境护主管部门和其他负有大气环境保护监督管理职责的主管部门有下列行为之一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(一)包庇大气污染违法行为的;</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(二)未依法作出责令停产、限产决定的;</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(三)发现或者接到举报未及时查处大气污染违法行为的;</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(四)未依法公开大气环境信息或者公布虚假大气环境信息的;</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(五)其他滥用职权、玩忽职守、徇私舞弊、弄虚作假的行为。</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违反本条例第十九条规定，机动船舶使用渣油、重油的，由县级以上人民政府海事管理机构、渔业主管部门按照职责处一万元以上十万元以下的罚款。</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第四十条 违反本条例规定的其他行为，法律、行政法规已有法律责任规定的，从其规定。</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0" w:lineRule="exact"/>
        <w:ind w:firstLine="640"/>
        <w:jc w:val="both"/>
        <w:textAlignment w:val="auto"/>
        <w:outlineLvl w:val="9"/>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本条例自2017年6月1日起施行。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w:altName w:val="DejaVu Sans"/>
    <w:panose1 w:val="020B0604020202020204"/>
    <w:charset w:val="01"/>
    <w:family w:val="swiss"/>
    <w:pitch w:val="default"/>
    <w:sig w:usb0="00000000" w:usb1="00000000" w:usb2="00000008" w:usb3="00000000" w:csb0="400001FF" w:csb1="FFFF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Simsun">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FFB0C01"/>
    <w:rsid w:val="AC7D76FA"/>
    <w:rsid w:val="BF7F60D2"/>
    <w:rsid w:val="E57F0E23"/>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 w:type="paragraph" w:customStyle="1" w:styleId="10">
    <w:name w:val="List Paragraph1"/>
    <w:basedOn w:val="1"/>
    <w:qFormat/>
    <w:uiPriority w:val="99"/>
    <w:pPr>
      <w:ind w:firstLine="420" w:firstLineChars="200"/>
    </w:pPr>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46</TotalTime>
  <ScaleCrop>false</ScaleCrop>
  <LinksUpToDate>false</LinksUpToDate>
  <CharactersWithSpaces>51</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2020-07-08T10:41:09Z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