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3557F0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深圳经济特区实施《中华人民共和国归侨侨眷权益保护法》规定"/>
      <w:bookmarkEnd w:id="0"/>
      <w:r>
        <w:rPr>
          <w:rFonts w:hint="eastAsia" w:ascii="方正小标宋简体" w:hAnsi="方正小标宋简体" w:eastAsia="方正小标宋简体" w:cs="方正小标宋简体"/>
          <w:color w:val="333333"/>
          <w:sz w:val="44"/>
          <w:szCs w:val="44"/>
          <w:shd w:val="clear" w:color="auto" w:fill="FFFFFF"/>
        </w:rPr>
        <w:t>深圳经济特区实施《中华人民共和国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24" w:name="_GoBack"/>
      <w:bookmarkEnd w:id="24"/>
      <w:r>
        <w:rPr>
          <w:rFonts w:hint="eastAsia" w:ascii="方正小标宋简体" w:hAnsi="方正小标宋简体" w:eastAsia="方正小标宋简体" w:cs="方正小标宋简体"/>
          <w:color w:val="333333"/>
          <w:sz w:val="44"/>
          <w:szCs w:val="44"/>
          <w:shd w:val="clear" w:color="auto" w:fill="FFFFFF"/>
        </w:rPr>
        <w:t>归侨侨眷权益保护法》规定</w:t>
      </w:r>
    </w:p>
    <w:p w14:paraId="6531806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（1995年3月30日深圳市第一届人民代表大会常务委员会第二十九次会议通过　2005年4月29日深圳市第三届人民代表大会常务委员会第三十八次会议修订　根据2012年6月28日深圳市第五届人民代表大会常务委员会第十六次会议《关于修改〈深圳经济特区实施《中华人民共和国归侨侨眷权益保护法》规定〉的决定》第一次修正　根据2019年8月29日深圳市第六届人民代表大会常务委员会第三十五次会议《关于修改〈深圳经济特区人才工作条例〉等二十九项法规的决定》第二次修正）</w:t>
      </w:r>
    </w:p>
    <w:p w14:paraId="28780C7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维护归侨、侨眷的合法权益，充分发挥归侨、侨眷建设深圳经济特区（以下简称特区）的作用，根据《中华人民共和国归侨侨眷权益保护法》和《中华人民共和国归侨侨眷权益保护法实施办法》等法律、行政法规，结合特区实际，制定本规定。</w:t>
      </w:r>
    </w:p>
    <w:p w14:paraId="75CE38B4">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市、区侨务部门是侨务工作的主管部门，对本规定实施负有下列职责：</w:t>
      </w:r>
    </w:p>
    <w:p w14:paraId="7DC562BF">
      <w:pPr>
        <w:ind w:firstLine="632" w:firstLineChars="200"/>
        <w:rPr>
          <w:rFonts w:ascii="Times New Roman" w:hAnsi="Times New Roman" w:cs="仿宋_GB2312"/>
          <w:sz w:val="32"/>
          <w:szCs w:val="32"/>
        </w:rPr>
      </w:pPr>
      <w:r>
        <w:rPr>
          <w:rFonts w:hint="eastAsia" w:ascii="Times New Roman" w:hAnsi="Times New Roman" w:cs="仿宋_GB2312"/>
          <w:sz w:val="32"/>
          <w:szCs w:val="32"/>
        </w:rPr>
        <w:t>（一）贯彻执行侨务工作的法律、法规、规章和政策；</w:t>
      </w:r>
    </w:p>
    <w:p w14:paraId="581F2253">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（二）保护归侨、侨眷的合法权益；</w:t>
      </w:r>
    </w:p>
    <w:p w14:paraId="5F5D44AE">
      <w:pPr>
        <w:ind w:firstLine="632" w:firstLineChars="200"/>
        <w:rPr>
          <w:rFonts w:ascii="Times New Roman" w:hAnsi="Times New Roman" w:cs="仿宋_GB2312"/>
          <w:sz w:val="32"/>
          <w:szCs w:val="32"/>
        </w:rPr>
      </w:pPr>
      <w:r>
        <w:rPr>
          <w:rFonts w:hint="eastAsia" w:ascii="Times New Roman" w:hAnsi="Times New Roman" w:cs="仿宋_GB2312"/>
          <w:sz w:val="32"/>
          <w:szCs w:val="32"/>
        </w:rPr>
        <w:t>（三）协调有关部门和单位的侨务工作；</w:t>
      </w:r>
    </w:p>
    <w:p w14:paraId="759C0817">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（四）开展侨务宣传、教育工作和海外侨胞的联谊活动；</w:t>
      </w:r>
    </w:p>
    <w:p w14:paraId="5BD1A799">
      <w:pPr>
        <w:ind w:firstLine="632" w:firstLineChars="200"/>
        <w:rPr>
          <w:rFonts w:ascii="Times New Roman" w:hAnsi="Times New Roman" w:cs="仿宋_GB2312"/>
          <w:sz w:val="32"/>
          <w:szCs w:val="32"/>
        </w:rPr>
      </w:pPr>
      <w:r>
        <w:rPr>
          <w:rFonts w:hint="eastAsia" w:ascii="Times New Roman" w:hAnsi="Times New Roman" w:cs="仿宋_GB2312"/>
          <w:sz w:val="32"/>
          <w:szCs w:val="32"/>
        </w:rPr>
        <w:t>（五）协助有关部门做好安置归侨及其子女的工作；</w:t>
      </w:r>
    </w:p>
    <w:p w14:paraId="7A48AC4A">
      <w:pPr>
        <w:ind w:firstLine="632" w:firstLineChars="200"/>
        <w:rPr>
          <w:rFonts w:ascii="Times New Roman" w:hAnsi="Times New Roman" w:cs="仿宋_GB2312"/>
          <w:sz w:val="32"/>
          <w:szCs w:val="32"/>
        </w:rPr>
      </w:pPr>
      <w:r>
        <w:rPr>
          <w:rFonts w:hint="eastAsia" w:ascii="Times New Roman" w:hAnsi="Times New Roman" w:cs="仿宋_GB2312"/>
          <w:sz w:val="32"/>
          <w:szCs w:val="32"/>
        </w:rPr>
        <w:t>（六）扶持归侨、侨眷兴办企业，并为企业提供服务；</w:t>
      </w:r>
    </w:p>
    <w:p w14:paraId="6E0875A7">
      <w:pPr>
        <w:ind w:firstLine="632" w:firstLineChars="200"/>
        <w:rPr>
          <w:rFonts w:ascii="Times New Roman" w:hAnsi="Times New Roman" w:cs="仿宋_GB2312"/>
          <w:sz w:val="32"/>
          <w:szCs w:val="32"/>
        </w:rPr>
      </w:pPr>
      <w:r>
        <w:rPr>
          <w:rFonts w:hint="eastAsia" w:ascii="Times New Roman" w:hAnsi="Times New Roman" w:cs="仿宋_GB2312"/>
          <w:sz w:val="32"/>
          <w:szCs w:val="32"/>
        </w:rPr>
        <w:t>（七）会同有关部门做好引进侨资、技术、人才和设备的工作。</w:t>
      </w:r>
    </w:p>
    <w:p w14:paraId="662AD908">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归侨、侨眷的身份由市、区侨务部门确认。</w:t>
      </w:r>
    </w:p>
    <w:p w14:paraId="2D23E48E">
      <w:pPr>
        <w:ind w:firstLine="632" w:firstLineChars="200"/>
        <w:rPr>
          <w:rFonts w:ascii="Times New Roman" w:hAnsi="Times New Roman" w:cs="仿宋_GB2312"/>
          <w:sz w:val="32"/>
          <w:szCs w:val="32"/>
        </w:rPr>
      </w:pPr>
      <w:r>
        <w:rPr>
          <w:rFonts w:hint="eastAsia" w:ascii="Times New Roman" w:hAnsi="Times New Roman" w:cs="仿宋_GB2312"/>
          <w:sz w:val="32"/>
          <w:szCs w:val="32"/>
        </w:rPr>
        <w:t>归侨侨眷需要确认身份的，应当持有所在单位、街道办事处或者户籍所在地公安派出所出具的证明，或者持有能证明其归侨、侨眷身份的其他有效证件，由市、区侨务部门审核发证。</w:t>
      </w:r>
    </w:p>
    <w:p w14:paraId="1C72FCA4">
      <w:pPr>
        <w:ind w:firstLine="632" w:firstLineChars="200"/>
        <w:rPr>
          <w:rFonts w:ascii="Times New Roman" w:hAnsi="Times New Roman" w:cs="仿宋_GB2312"/>
          <w:sz w:val="32"/>
          <w:szCs w:val="32"/>
        </w:rPr>
      </w:pPr>
      <w:r>
        <w:rPr>
          <w:rFonts w:hint="eastAsia" w:ascii="Times New Roman" w:hAnsi="Times New Roman" w:cs="仿宋_GB2312"/>
          <w:sz w:val="32"/>
          <w:szCs w:val="32"/>
        </w:rPr>
        <w:t>同华侨、归侨有长期扶养关系的其他亲属，其侨眷身份应当经公证机关出具扶养公证后，方予审核认定。</w:t>
      </w:r>
    </w:p>
    <w:p w14:paraId="7CB6E627">
      <w:pPr>
        <w:ind w:firstLine="632" w:firstLineChars="200"/>
        <w:rPr>
          <w:rFonts w:ascii="Times New Roman" w:hAnsi="Times New Roman" w:cs="仿宋_GB2312"/>
          <w:sz w:val="32"/>
          <w:szCs w:val="32"/>
        </w:rPr>
      </w:pPr>
      <w:r>
        <w:rPr>
          <w:rFonts w:hint="eastAsia" w:ascii="Times New Roman" w:hAnsi="Times New Roman" w:cs="仿宋_GB2312"/>
          <w:sz w:val="32"/>
          <w:szCs w:val="32"/>
        </w:rPr>
        <w:t>华侨、归侨死亡后，其国内眷属依法确认的侨眷身份不变，但是其配偶与非华侨、归侨再婚的除外。</w:t>
      </w:r>
    </w:p>
    <w:p w14:paraId="2092716A">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依法成立的各级归国华侨联合会按照其章程进行活动，依法维护归侨、侨眷的合法权益。归侨、侨眷有权依法申请成立其他社团，进行适合归侨、侨眷需要的合法的社会活动。</w:t>
      </w:r>
    </w:p>
    <w:p w14:paraId="6DD26200">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依法成立的归侨、侨眷社会团体拥有的财产受法律保护，任何组织或者个人不得侵害、损害。</w:t>
      </w:r>
    </w:p>
    <w:p w14:paraId="10D8E30A">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市、区人民代表大会应当有适当名额的归侨、侨眷代表。各级归国华侨联合会可以依法推荐归侨、侨眷代表候选人。</w:t>
      </w:r>
    </w:p>
    <w:p w14:paraId="6FA40AD8">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市、区有关部门对归侨、侨眷集中的地区和单位，依法应当给予相应的政策扶持。</w:t>
      </w:r>
    </w:p>
    <w:p w14:paraId="6C92B9F3">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归侨、侨眷为兴办公益事业捐赠的款物，任何组织或者个人不得侵占、损害；所兴办项目的名称、用途不得随意更改。</w:t>
      </w:r>
    </w:p>
    <w:p w14:paraId="22D70613">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归侨、侨眷的私有房屋所有权受法律保护。归侨、侨眷对其私有房屋依法享有占有、使用、收益和处分的权利，任何组织或者个人不得侵犯。</w:t>
      </w:r>
    </w:p>
    <w:p w14:paraId="4807295C">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城市建设依法征用土地，需要拆迁归侨、侨眷私有房屋的，建设单位应当按照有关规定给予相应补偿和妥善安置。</w:t>
      </w:r>
    </w:p>
    <w:p w14:paraId="00EB1A48">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华侨经批准回原籍定居的，有关部门应当给予协助和支持。</w:t>
      </w:r>
    </w:p>
    <w:p w14:paraId="2FEE3BEC">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归侨学生、归侨子女和华侨子女报考深圳市由政府举办的非义务教育的各类学校，在同一分数段内优先录取。</w:t>
      </w:r>
    </w:p>
    <w:p w14:paraId="4C514D65">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用人单位招用职工时，在同等条件下应当优先录用归侨学生、归侨子女和华侨子女。归侨学生、归侨子女和华侨子女组织起来就业和自谋职业的，有关部门应当给予扶持。</w:t>
      </w:r>
    </w:p>
    <w:p w14:paraId="6DE2FCEB">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本市户籍归侨员工退休时，月基本养老金与地方补充养老待遇之和低于本市上年度城镇职工月平均工资的，每月加发退休时本市上年度城镇职工月平均工资百分之五的补助费。</w:t>
      </w:r>
    </w:p>
    <w:p w14:paraId="408DFA07">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归侨、侨眷因私申请出境的，按照有关规定办理。</w:t>
      </w:r>
    </w:p>
    <w:p w14:paraId="10CDE2F2">
      <w:pPr>
        <w:ind w:firstLine="632" w:firstLineChars="200"/>
        <w:rPr>
          <w:rFonts w:ascii="Times New Roman" w:hAnsi="Times New Roman" w:cs="仿宋_GB2312"/>
          <w:sz w:val="32"/>
          <w:szCs w:val="32"/>
        </w:rPr>
      </w:pPr>
      <w:r>
        <w:rPr>
          <w:rFonts w:hint="eastAsia" w:ascii="Times New Roman" w:hAnsi="Times New Roman" w:cs="仿宋_GB2312"/>
          <w:sz w:val="32"/>
          <w:szCs w:val="32"/>
        </w:rPr>
        <w:t>归侨、侨眷因境外直系亲属或者兄弟姐妹病危、死亡或者限期处理境外财产等特殊情况急需出境的，公安机关应当在收到申请后四十八小时内作出批准或者不批准的决定。</w:t>
      </w:r>
    </w:p>
    <w:p w14:paraId="4A91FE75">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申请人在规定期间未接到审批结果通知的，有权查询，受理部门应当在三日内作出答复；申请人对不批准的决定不服的，有权向上一级公安机关提出申诉。</w:t>
      </w:r>
    </w:p>
    <w:p w14:paraId="3C760A85">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归侨、侨眷因私事申请出境，其所在单位或者有关部门不得因其申请出境而作出损害其权益的规定；不得在其取得前往国家（地区）入境签证前，强令其办理停职、停薪、退职、辞职、退学、停学或者腾退住房；不得自行收取保证金、抵押金及其他费用。</w:t>
      </w:r>
    </w:p>
    <w:p w14:paraId="53F73840">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归侨、侨眷获准出境定居的，原已购买的非市场商品房应当予以保留，按照相关房屋政策规定办理有关手续。</w:t>
      </w:r>
    </w:p>
    <w:p w14:paraId="675C3EA9">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在职的归侨、侨眷申请出境定居的，其所在工作单位应当在其取得定居国（地区）入境签证后十五日内，为其办理离职手续；本人向社会保险部门申请办理退保手续的，社会保险部门应当按照有关规定为其办理退还养老保险个人账户积累额的手续。</w:t>
      </w:r>
    </w:p>
    <w:p w14:paraId="62162972">
      <w:pPr>
        <w:ind w:firstLine="632" w:firstLineChars="200"/>
        <w:rPr>
          <w:rFonts w:ascii="Times New Roman" w:hAnsi="Times New Roman" w:cs="仿宋_GB2312"/>
          <w:sz w:val="32"/>
          <w:szCs w:val="32"/>
        </w:rPr>
      </w:pPr>
      <w:r>
        <w:rPr>
          <w:rFonts w:hint="eastAsia" w:ascii="Times New Roman" w:hAnsi="Times New Roman" w:cs="仿宋_GB2312"/>
          <w:sz w:val="32"/>
          <w:szCs w:val="32"/>
        </w:rPr>
        <w:t>离休、退休、退职的归侨、侨眷出境定居的，其离休金、养老金、退职金以及生活补贴，与境内原单位同类人员享受同等待遇。</w:t>
      </w:r>
    </w:p>
    <w:p w14:paraId="08FBFE17">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归侨、侨眷出境定居后要求回国定居的，应当按照国家有关华侨回国定居的规定办理回国定居证明，并在抵达目的地后三十日内凭回国定居证明到拟定居地公安派出所办理常住户口登记。要求工作的，人力资源保障部门应当在同等条件下优先向用人单位推荐。</w:t>
      </w:r>
    </w:p>
    <w:p w14:paraId="130B5094">
      <w:pPr>
        <w:ind w:firstLine="632" w:firstLineChars="200"/>
        <w:rPr>
          <w:rFonts w:ascii="Times New Roman" w:hAnsi="Times New Roman" w:cs="仿宋_GB2312"/>
          <w:sz w:val="32"/>
          <w:szCs w:val="32"/>
        </w:rPr>
      </w:pPr>
      <w:r>
        <w:rPr>
          <w:rFonts w:hint="eastAsia" w:ascii="Times New Roman" w:hAnsi="Times New Roman" w:cs="仿宋_GB2312"/>
          <w:sz w:val="32"/>
          <w:szCs w:val="32"/>
        </w:rPr>
        <w:t>归侨、侨眷职工出境定居后又返回，在本市重新就业的，在退回养老保险金后，其出境前和重新就业后的实际缴费年限合并计算。</w:t>
      </w:r>
    </w:p>
    <w:p w14:paraId="56E0DFC4">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归侨、侨眷将子女送养给其同辈三代以内旁系血亲的华侨，经查证双方当事人自愿、被收养人同意，确为接受境外华侨产业和照顾生活的，公证机关应当为其出具收养公证书。</w:t>
      </w:r>
    </w:p>
    <w:p w14:paraId="36C0A0BB">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归侨、侨眷的合法权益受到侵犯的，有权要求有关部门依法处理，除有特别规定外，受理部门应当在接到要求处理的文书之日起三十日内作出处理决定；对有关部门处理决定不服的，当事人可以依法申请行政复议或者向人民法院提起行政诉讼。</w:t>
      </w:r>
    </w:p>
    <w:p w14:paraId="07640C7F">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国家工作人员损害归侨、侨眷合法权益的，其所在工作单位或者上级主管机关应当责令改正或者给予处分；构成犯罪的，依法追究刑事责任。</w:t>
      </w:r>
    </w:p>
    <w:p w14:paraId="5B0D36F0">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外籍华人的具有深圳常住户口的眷属，可以参照本规定执行。</w:t>
      </w:r>
    </w:p>
    <w:p w14:paraId="09F01E8B">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本规定自公布之日起施行。本规定未尽事项，依照《中华人民共和国归侨侨眷权益保护法》《中华人民共和国归侨侨眷权益保护法实施办法》和《广东省归侨侨眷权益保护实施办法》的规定执行。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0EEA221F"/>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2418</Words>
  <Characters>2434</Characters>
  <Lines>87</Lines>
  <Paragraphs>24</Paragraphs>
  <TotalTime>3</TotalTime>
  <ScaleCrop>false</ScaleCrop>
  <LinksUpToDate>false</LinksUpToDate>
  <CharactersWithSpaces>2459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2025-04-29T09:08:35Z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