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jc w:val="center"/>
        <w:textAlignment w:val="auto"/>
        <w:outlineLvl w:val="9"/>
        <w:rPr>
          <w:rFonts w:ascii="宋体" w:hAnsi="宋体" w:cs="宋体"/>
          <w:sz w:val="44"/>
          <w:szCs w:val="44"/>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jc w:val="center"/>
        <w:textAlignment w:val="auto"/>
        <w:outlineLvl w:val="9"/>
        <w:rPr>
          <w:rFonts w:ascii="宋体" w:hAnsi="宋体" w:cs="宋体"/>
          <w:sz w:val="44"/>
          <w:szCs w:val="44"/>
        </w:rPr>
      </w:pPr>
    </w:p>
    <w:p>
      <w:pPr>
        <w:keepNext w:val="0"/>
        <w:keepLines w:val="0"/>
        <w:pageBreakBefore w:val="0"/>
        <w:widowControl w:val="0"/>
        <w:kinsoku/>
        <w:wordWrap/>
        <w:overflowPunct/>
        <w:topLinePunct w:val="0"/>
        <w:autoSpaceDE/>
        <w:autoSpaceDN/>
        <w:bidi w:val="0"/>
        <w:adjustRightInd/>
        <w:snapToGrid/>
        <w:spacing w:beforeAutospacing="0" w:afterAutospacing="0" w:line="640" w:lineRule="exact"/>
        <w:ind w:left="0" w:leftChars="0" w:right="0" w:rightChars="0"/>
        <w:jc w:val="center"/>
        <w:textAlignment w:val="auto"/>
        <w:outlineLvl w:val="9"/>
        <w:rPr>
          <w:rFonts w:hint="eastAsia" w:asciiTheme="majorEastAsia" w:hAnsiTheme="majorEastAsia" w:eastAsiaTheme="majorEastAsia" w:cstheme="majorEastAsia"/>
          <w:sz w:val="44"/>
          <w:szCs w:val="44"/>
          <w:lang w:val="en-US" w:eastAsia="zh-CN"/>
        </w:rPr>
      </w:pPr>
      <w:bookmarkStart w:id="0" w:name="_GoBack"/>
      <w:bookmarkEnd w:id="0"/>
      <w:r>
        <w:rPr>
          <w:rFonts w:hint="eastAsia" w:asciiTheme="majorEastAsia" w:hAnsiTheme="majorEastAsia" w:eastAsiaTheme="majorEastAsia" w:cstheme="majorEastAsia"/>
          <w:sz w:val="44"/>
          <w:szCs w:val="44"/>
          <w:lang w:val="en-US" w:eastAsia="zh-CN"/>
        </w:rPr>
        <w:t>贵州省组织实施宪法宣誓制度办法</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638" w:leftChars="202" w:right="641" w:rightChars="203" w:firstLine="0" w:firstLineChars="0"/>
        <w:jc w:val="both"/>
        <w:textAlignment w:val="auto"/>
        <w:outlineLvl w:val="9"/>
        <w:rPr>
          <w:rFonts w:hint="eastAsia" w:ascii="楷体_GB2312" w:hAnsi="楷体_GB2312" w:eastAsia="楷体_GB2312" w:cs="楷体_GB2312"/>
          <w:color w:val="000000"/>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638" w:leftChars="202" w:right="641" w:rightChars="203" w:firstLine="0" w:firstLineChars="0"/>
        <w:jc w:val="both"/>
        <w:textAlignment w:val="auto"/>
        <w:outlineLvl w:val="9"/>
        <w:rPr>
          <w:rFonts w:hint="eastAsia" w:ascii="楷体_GB2312" w:hAnsi="楷体_GB2312" w:eastAsia="楷体_GB2312" w:cs="楷体_GB2312"/>
          <w:color w:val="000000"/>
          <w:sz w:val="32"/>
          <w:szCs w:val="32"/>
          <w:lang w:val="en-US"/>
        </w:rPr>
      </w:pPr>
      <w:r>
        <w:rPr>
          <w:rFonts w:hint="eastAsia" w:ascii="楷体_GB2312" w:hAnsi="楷体_GB2312" w:eastAsia="楷体_GB2312" w:cs="楷体_GB2312"/>
          <w:color w:val="000000"/>
          <w:kern w:val="2"/>
          <w:sz w:val="32"/>
          <w:szCs w:val="32"/>
          <w:lang w:val="en-US" w:eastAsia="zh-CN" w:bidi="ar"/>
        </w:rPr>
        <w:t xml:space="preserve">（2015年11月27日贵州省第十二届人民代表大会常务委员会第十九次会议通过  </w:t>
      </w:r>
      <w:r>
        <w:rPr>
          <w:rFonts w:hint="eastAsia" w:ascii="楷体_GB2312" w:hAnsi="楷体_GB2312" w:eastAsia="楷体_GB2312" w:cs="楷体_GB2312"/>
          <w:color w:val="000000"/>
          <w:w w:val="90"/>
          <w:kern w:val="2"/>
          <w:sz w:val="32"/>
          <w:szCs w:val="32"/>
          <w:lang w:val="en-US" w:eastAsia="zh-CN" w:bidi="ar"/>
        </w:rPr>
        <w:t>根据</w:t>
      </w:r>
      <w:r>
        <w:rPr>
          <w:rFonts w:hint="eastAsia" w:ascii="楷体_GB2312" w:hAnsi="楷体_GB2312" w:eastAsia="楷体_GB2312" w:cs="楷体_GB2312"/>
          <w:color w:val="000000"/>
          <w:spacing w:val="-10"/>
          <w:kern w:val="2"/>
          <w:sz w:val="32"/>
          <w:szCs w:val="32"/>
          <w:lang w:val="en-US" w:eastAsia="zh-CN" w:bidi="ar"/>
        </w:rPr>
        <w:t>2019年3月29日贵州省第十三届人民代表大会常务委员会第九次会议通过的</w:t>
      </w:r>
      <w:r>
        <w:rPr>
          <w:rFonts w:hint="eastAsia" w:ascii="楷体_GB2312" w:hAnsi="楷体_GB2312" w:eastAsia="楷体_GB2312" w:cs="楷体_GB2312"/>
          <w:color w:val="000000"/>
          <w:kern w:val="2"/>
          <w:sz w:val="32"/>
          <w:szCs w:val="32"/>
          <w:lang w:val="en-US" w:eastAsia="zh-CN" w:bidi="ar"/>
        </w:rPr>
        <w:t>《贵州省组织实施宪法宣誓制度办法修正案》修正）</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 w:hAnsi="仿宋" w:eastAsia="仿宋" w:cs="仿宋"/>
          <w:color w:val="000000"/>
          <w:sz w:val="32"/>
          <w:szCs w:val="32"/>
          <w:lang w:val="en-US"/>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第一条</w:t>
      </w:r>
      <w:r>
        <w:rPr>
          <w:rFonts w:hint="eastAsia" w:ascii="仿宋" w:hAnsi="仿宋" w:eastAsia="仿宋" w:cs="仿宋"/>
          <w:color w:val="000000"/>
          <w:kern w:val="2"/>
          <w:sz w:val="32"/>
          <w:szCs w:val="32"/>
          <w:lang w:val="en-US" w:eastAsia="zh-CN" w:bidi="ar"/>
        </w:rPr>
        <w:t xml:space="preserve">  </w:t>
      </w:r>
      <w:r>
        <w:rPr>
          <w:rFonts w:hint="eastAsia" w:ascii="仿宋_GB2312" w:hAnsi="仿宋_GB2312" w:eastAsia="仿宋_GB2312" w:cs="仿宋_GB2312"/>
          <w:color w:val="000000"/>
          <w:kern w:val="2"/>
          <w:sz w:val="32"/>
          <w:szCs w:val="32"/>
          <w:lang w:val="en-US" w:eastAsia="zh-CN" w:bidi="ar"/>
        </w:rPr>
        <w:t>根据《全国人民代表大会常务委员会关于实行宪法宣誓制度的决定》，结合本省实际，制定本办法。</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 w:hAnsi="仿宋" w:eastAsia="仿宋" w:cs="仿宋"/>
          <w:color w:val="000000"/>
          <w:sz w:val="32"/>
          <w:szCs w:val="32"/>
          <w:lang w:val="en-US"/>
        </w:rPr>
      </w:pPr>
      <w:r>
        <w:rPr>
          <w:rFonts w:hint="eastAsia" w:ascii="黑体" w:hAnsi="宋体" w:eastAsia="黑体" w:cs="黑体"/>
          <w:color w:val="000000"/>
          <w:kern w:val="2"/>
          <w:sz w:val="32"/>
          <w:szCs w:val="32"/>
          <w:lang w:val="en-US" w:eastAsia="zh-CN" w:bidi="ar"/>
        </w:rPr>
        <w:t>第二条</w:t>
      </w:r>
      <w:r>
        <w:rPr>
          <w:rFonts w:hint="eastAsia" w:ascii="仿宋" w:hAnsi="仿宋" w:eastAsia="仿宋" w:cs="仿宋"/>
          <w:color w:val="000000"/>
          <w:kern w:val="2"/>
          <w:sz w:val="32"/>
          <w:szCs w:val="32"/>
          <w:lang w:val="en-US" w:eastAsia="zh-CN" w:bidi="ar"/>
        </w:rPr>
        <w:t xml:space="preserve">  </w:t>
      </w:r>
      <w:r>
        <w:rPr>
          <w:rFonts w:hint="eastAsia" w:ascii="仿宋_GB2312" w:hAnsi="仿宋_GB2312" w:eastAsia="仿宋_GB2312" w:cs="仿宋_GB2312"/>
          <w:color w:val="000000"/>
          <w:kern w:val="2"/>
          <w:sz w:val="32"/>
          <w:szCs w:val="32"/>
          <w:lang w:val="en-US" w:eastAsia="zh-CN" w:bidi="ar"/>
        </w:rPr>
        <w:t>贵州省地方各级人民代表大会及县级以上地方各级人民代表大会常务委员会选举或者决定任命的国家工作人员，以及地方各级人民政府、监察委员会、人民法院、人民检察院任命的国家工作人员，在就职时应当公开进行宪法宣誓。</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第三条</w:t>
      </w:r>
      <w:r>
        <w:rPr>
          <w:rFonts w:hint="eastAsia" w:ascii="仿宋" w:hAnsi="仿宋" w:eastAsia="仿宋" w:cs="仿宋"/>
          <w:color w:val="000000"/>
          <w:kern w:val="2"/>
          <w:sz w:val="32"/>
          <w:szCs w:val="32"/>
          <w:lang w:val="en-US" w:eastAsia="zh-CN" w:bidi="ar"/>
        </w:rPr>
        <w:t xml:space="preserve">  </w:t>
      </w:r>
      <w:r>
        <w:rPr>
          <w:rFonts w:hint="eastAsia" w:ascii="仿宋_GB2312" w:hAnsi="仿宋_GB2312" w:eastAsia="仿宋_GB2312" w:cs="仿宋_GB2312"/>
          <w:color w:val="000000"/>
          <w:kern w:val="2"/>
          <w:sz w:val="32"/>
          <w:szCs w:val="32"/>
          <w:lang w:val="en-US" w:eastAsia="zh-CN" w:bidi="ar"/>
        </w:rPr>
        <w:t>宣誓誓词如下: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kern w:val="2"/>
          <w:sz w:val="32"/>
          <w:szCs w:val="32"/>
          <w:lang w:val="en-US" w:eastAsia="zh-CN" w:bidi="ar"/>
        </w:rPr>
        <w:t>我宣誓：忠于中华人民共和国宪法，维护宪法权威，履行法定职责，忠于祖国、忠于人民，恪尽职守、廉洁奉公，接受人民监督，为建设富强民主文明和谐美丽的社会主义现代化强国努力奋斗！</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第四条</w:t>
      </w:r>
      <w:r>
        <w:rPr>
          <w:rFonts w:hint="eastAsia" w:ascii="仿宋" w:hAnsi="仿宋" w:eastAsia="仿宋" w:cs="仿宋"/>
          <w:color w:val="000000"/>
          <w:kern w:val="2"/>
          <w:sz w:val="32"/>
          <w:szCs w:val="32"/>
          <w:lang w:val="en-US" w:eastAsia="zh-CN" w:bidi="ar"/>
        </w:rPr>
        <w:t xml:space="preserve">  </w:t>
      </w:r>
      <w:r>
        <w:rPr>
          <w:rFonts w:hint="eastAsia" w:ascii="仿宋_GB2312" w:hAnsi="仿宋_GB2312" w:eastAsia="仿宋_GB2312" w:cs="仿宋_GB2312"/>
          <w:color w:val="000000"/>
          <w:kern w:val="2"/>
          <w:sz w:val="32"/>
          <w:szCs w:val="32"/>
          <w:lang w:val="en-US" w:eastAsia="zh-CN" w:bidi="ar"/>
        </w:rPr>
        <w:t>省人民代表大会选举的常务委员会主任、副主任、秘书长、委员，省长、副省长，省监察委员会主任，省高级人民法院院长，以及省人民代表大会专门委员会主任委员、副主任委员、委员等，在依照法定程序产生后，进行宪法宣誓。宣誓仪式由省人民代表大会会议主席团或者省人民代表大会常务委员会组织。</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kern w:val="2"/>
          <w:sz w:val="32"/>
          <w:szCs w:val="32"/>
          <w:lang w:val="en-US" w:eastAsia="zh-CN" w:bidi="ar"/>
        </w:rPr>
        <w:t>设区的市、自治州、县（市、区、特区）人民代表大会选举的常务委员会主任、副主任、秘书长、委员，市长、副市长，州长、副州长，县长、副县长，区长、副区长，本级监察委员会主任、本级人民法院院长、以及本级人民代表大会专门委员会主任委员、副主任委员、委员等，在依照法定程序产生后，进行宪法宣誓。宣誓仪式由设区的市、自治州、县（市、区、特区）人民代表大会会议主席团或者本级人民代表大会常务委员会组织。</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kern w:val="2"/>
          <w:sz w:val="32"/>
          <w:szCs w:val="32"/>
          <w:lang w:val="en-US" w:eastAsia="zh-CN" w:bidi="ar"/>
        </w:rPr>
        <w:t>乡（镇）人民代表大会选举的乡（镇）人民代表大会主席、副主席，乡长、副乡长，镇长、副镇长，以及乡（镇）人民代表大会代表资格审查委员会主任委员、副主任委员、委员等，在依照法定程序产生后，进行宪法宣誓。宣誓仪式由乡（镇）人民代表大会会议主席团组织。</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第五条</w:t>
      </w:r>
      <w:r>
        <w:rPr>
          <w:rFonts w:hint="eastAsia" w:ascii="仿宋" w:hAnsi="仿宋" w:eastAsia="仿宋" w:cs="仿宋"/>
          <w:color w:val="000000"/>
          <w:kern w:val="2"/>
          <w:sz w:val="32"/>
          <w:szCs w:val="32"/>
          <w:lang w:val="en-US" w:eastAsia="zh-CN" w:bidi="ar"/>
        </w:rPr>
        <w:t xml:space="preserve">  </w:t>
      </w:r>
      <w:r>
        <w:rPr>
          <w:rFonts w:hint="eastAsia" w:ascii="仿宋_GB2312" w:hAnsi="仿宋_GB2312" w:eastAsia="仿宋_GB2312" w:cs="仿宋_GB2312"/>
          <w:color w:val="000000"/>
          <w:kern w:val="2"/>
          <w:sz w:val="32"/>
          <w:szCs w:val="32"/>
          <w:lang w:val="en-US" w:eastAsia="zh-CN" w:bidi="ar"/>
        </w:rPr>
        <w:t>县级以上地方各级人民代表大会选举的本级人民检察院检察长，经上一级人民代表大会常务委员会批准后，进行宪法宣誓。宣誓仪式由本级人民代表大会常务委员会主任会议组织。</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第六条</w:t>
      </w:r>
      <w:r>
        <w:rPr>
          <w:rFonts w:hint="eastAsia" w:ascii="仿宋" w:hAnsi="仿宋" w:eastAsia="仿宋" w:cs="仿宋"/>
          <w:color w:val="000000"/>
          <w:kern w:val="2"/>
          <w:sz w:val="32"/>
          <w:szCs w:val="32"/>
          <w:lang w:val="en-US" w:eastAsia="zh-CN" w:bidi="ar"/>
        </w:rPr>
        <w:t xml:space="preserve">  </w:t>
      </w:r>
      <w:r>
        <w:rPr>
          <w:rFonts w:hint="eastAsia" w:ascii="仿宋_GB2312" w:hAnsi="仿宋_GB2312" w:eastAsia="仿宋_GB2312" w:cs="仿宋_GB2312"/>
          <w:color w:val="000000"/>
          <w:kern w:val="2"/>
          <w:sz w:val="32"/>
          <w:szCs w:val="32"/>
          <w:lang w:val="en-US" w:eastAsia="zh-CN" w:bidi="ar"/>
        </w:rPr>
        <w:t>在省人民代表大会闭会期间，省人民代表大会常务委员会任命或者决定任命的副省长，省人民代表大会专门委员会副主任委员、委员，省人民代表大会常务委员会副秘书长，工作委员会主任、副主任，工作机构负责人，代表资格审查委员会主任委员、副主任委员、委员，省人民政府秘书长、委员会（办公室）主任、厅长、局长等，在依照法定程序产生后，进行宪法宣誓。宣誓仪式由省人民代表大会常务委员会主任会议组织。</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kern w:val="2"/>
          <w:sz w:val="32"/>
          <w:szCs w:val="32"/>
          <w:lang w:val="en-US" w:eastAsia="zh-CN" w:bidi="ar"/>
        </w:rPr>
        <w:t>在设区的市、自治州、县（市、区、特区）人民代表大会闭会期间，设区的市、自治州、县（市、区、特区）人民代表大会常务委员会任命或者决定任命的副市长、副州长、副县长、副区长，本级人民代表大会专门委员会副主任委员、委员，本级人民代表大会常务委员会副秘书长，工作委员会主任、副主任，工作机构负责人，代表资格审查委员会主任委员、副主任委员、委员，本级人民政府秘书长、委员会（办公室）主任、局长等，在依照法定程序产生后，进行宪法宣誓。宣誓仪式由设区的市、自治州、县（市、区、特区）人民代表大会常务委员会主任会议组织。</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kern w:val="2"/>
          <w:sz w:val="32"/>
          <w:szCs w:val="32"/>
          <w:lang w:val="en-US" w:eastAsia="zh-CN" w:bidi="ar"/>
        </w:rPr>
        <w:t>在县级以上地方各级人民代表大会闭会期间，人民代表大会常务委员会推选的本级人民代表大会常务委员会代理主任，决定的代理省长、市长、州长、县长、区长，决定的代理监察委员会主任、人民法院院长、人民检察院检察长，在依照法定程序产生后，进行宪法宣誓。宣誓仪式由本级人民代表大会常务委员会主任会议组织。</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第七条</w:t>
      </w:r>
      <w:r>
        <w:rPr>
          <w:rFonts w:hint="eastAsia" w:ascii="仿宋" w:hAnsi="仿宋" w:eastAsia="仿宋" w:cs="仿宋"/>
          <w:color w:val="000000"/>
          <w:kern w:val="2"/>
          <w:sz w:val="32"/>
          <w:szCs w:val="32"/>
          <w:lang w:val="en-US" w:eastAsia="zh-CN" w:bidi="ar"/>
        </w:rPr>
        <w:t xml:space="preserve">  </w:t>
      </w:r>
      <w:r>
        <w:rPr>
          <w:rFonts w:hint="eastAsia" w:ascii="仿宋_GB2312" w:hAnsi="仿宋_GB2312" w:eastAsia="仿宋_GB2312" w:cs="仿宋_GB2312"/>
          <w:color w:val="000000"/>
          <w:kern w:val="2"/>
          <w:sz w:val="32"/>
          <w:szCs w:val="32"/>
          <w:lang w:val="en-US" w:eastAsia="zh-CN" w:bidi="ar"/>
        </w:rPr>
        <w:t>省人民代表大会常务委员会任命的省监察委员会副主任、委员，省高级人民法院副院长、审判委员会委员、庭长、副庭长、审判员，省人民检察院副检察长、检察委员会委员、检察员，省高级人民法院贵阳铁路运输法院院长、副院长、审判委员会委员、庭长、副庭长、审判员，省人民检察院贵阳铁路运输检察院检察长、副检察长、检察委员会委员、检察员，在依照法定程序产生后，进行宪法宣誓。宣誓仪式由省监察委员会、省高级人民法院、省人民检察院分别组织。</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kern w:val="2"/>
          <w:sz w:val="32"/>
          <w:szCs w:val="32"/>
          <w:lang w:val="en-US" w:eastAsia="zh-CN" w:bidi="ar"/>
        </w:rPr>
        <w:t>设区的市、自治州、县（市、区、特区）人民代表大会常务委员会任命的本级监察委员会副主任、委员，本级人民法院副院长、审判委员会委员、庭长、副庭长、审判员，专门人民法院院长、副院长、审判委员会委员、庭长、副庭长、审判员，本级人民检察院副检察长、检察委员会委员、检察员，派出的人民检察院检察长、副检察长、检察委员会委员、检察员，在依照法定程序产生后，进行宪法宣誓。宣誓仪式由各设区的市、自治州、县（市、区、特区）监察委员会、人民法院、人民检察院等分别组织。</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第八条</w:t>
      </w:r>
      <w:r>
        <w:rPr>
          <w:rFonts w:hint="eastAsia" w:ascii="仿宋" w:hAnsi="仿宋" w:eastAsia="仿宋" w:cs="仿宋"/>
          <w:color w:val="000000"/>
          <w:kern w:val="2"/>
          <w:sz w:val="32"/>
          <w:szCs w:val="32"/>
          <w:lang w:val="en-US" w:eastAsia="zh-CN" w:bidi="ar"/>
        </w:rPr>
        <w:t xml:space="preserve">  </w:t>
      </w:r>
      <w:r>
        <w:rPr>
          <w:rFonts w:hint="eastAsia" w:ascii="仿宋_GB2312" w:hAnsi="仿宋_GB2312" w:eastAsia="仿宋_GB2312" w:cs="仿宋_GB2312"/>
          <w:color w:val="000000"/>
          <w:kern w:val="2"/>
          <w:sz w:val="32"/>
          <w:szCs w:val="32"/>
          <w:lang w:val="en-US" w:eastAsia="zh-CN" w:bidi="ar"/>
        </w:rPr>
        <w:t>地方各级人民政府及其各部门、监察委员会、人民法院、人民检察院任命的国家工作人员，在就职时进行宪法宣誓。宣誓仪式由任命机关组织。</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第九条</w:t>
      </w:r>
      <w:r>
        <w:rPr>
          <w:rFonts w:hint="eastAsia" w:ascii="仿宋" w:hAnsi="仿宋" w:eastAsia="仿宋" w:cs="仿宋"/>
          <w:color w:val="000000"/>
          <w:kern w:val="2"/>
          <w:sz w:val="32"/>
          <w:szCs w:val="32"/>
          <w:lang w:val="en-US" w:eastAsia="zh-CN" w:bidi="ar"/>
        </w:rPr>
        <w:t xml:space="preserve">  </w:t>
      </w:r>
      <w:r>
        <w:rPr>
          <w:rFonts w:hint="eastAsia" w:ascii="仿宋_GB2312" w:hAnsi="仿宋_GB2312" w:eastAsia="仿宋_GB2312" w:cs="仿宋_GB2312"/>
          <w:color w:val="000000"/>
          <w:kern w:val="2"/>
          <w:sz w:val="32"/>
          <w:szCs w:val="32"/>
          <w:lang w:val="en-US" w:eastAsia="zh-CN" w:bidi="ar"/>
        </w:rPr>
        <w:t>宣誓仪式根据情况，可以采取单独宣誓或者集体宣誓的形式。单独宣誓时，宣誓人应当左手抚按《中华人民共和国宪法》，右手举拳，诵读誓词。集体宣誓时，由一人领誓，领誓人左手抚按《中华人民共和国宪法》，右手举拳，领诵誓词;其他宣誓人整齐排列，右手举拳，跟诵誓词。诵读誓词后，宣誓人应当报出本人姓名。</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kern w:val="2"/>
          <w:sz w:val="32"/>
          <w:szCs w:val="32"/>
          <w:lang w:val="en-US" w:eastAsia="zh-CN" w:bidi="ar"/>
        </w:rPr>
        <w:t>宣誓场所应当庄重、严肃，悬挂中华人民共和国国旗或者国徽。宣誓仪式应当奏唱中华人民共和国国歌。</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kern w:val="2"/>
          <w:sz w:val="32"/>
          <w:szCs w:val="32"/>
          <w:lang w:val="en-US" w:eastAsia="zh-CN" w:bidi="ar"/>
        </w:rPr>
        <w:t>负责组织宣誓仪式的机关，可以根据本办法并结合实际情况，对宣誓的具体事项作出规定。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pPr>
      <w:r>
        <w:rPr>
          <w:rFonts w:hint="eastAsia" w:ascii="黑体" w:hAnsi="宋体" w:eastAsia="黑体" w:cs="黑体"/>
          <w:color w:val="000000"/>
          <w:kern w:val="2"/>
          <w:sz w:val="32"/>
          <w:szCs w:val="32"/>
          <w:lang w:val="en-US" w:eastAsia="zh-CN" w:bidi="ar"/>
        </w:rPr>
        <w:t>第十条</w:t>
      </w:r>
      <w:r>
        <w:rPr>
          <w:rFonts w:hint="eastAsia" w:ascii="仿宋_GB2312" w:hAnsi="仿宋_GB2312" w:eastAsia="仿宋_GB2312" w:cs="仿宋_GB2312"/>
          <w:color w:val="000000"/>
          <w:kern w:val="2"/>
          <w:sz w:val="32"/>
          <w:szCs w:val="32"/>
          <w:lang w:val="en-US" w:eastAsia="zh-CN" w:bidi="ar"/>
        </w:rPr>
        <w:t xml:space="preserve">  本办法自2016年1月1日起施行。</w:t>
      </w:r>
    </w:p>
    <w:sectPr>
      <w:footerReference r:id="rId3" w:type="default"/>
      <w:pgSz w:w="11906" w:h="16838"/>
      <w:pgMar w:top="2041" w:right="1531" w:bottom="1701" w:left="1531" w:header="851" w:footer="1531" w:gutter="0"/>
      <w:cols w:space="0" w:num="1"/>
      <w:rtlGutter w:val="0"/>
      <w:docGrid w:type="linesAndChars" w:linePitch="60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altName w:val="宋体"/>
    <w:panose1 w:val="00000000000000000000"/>
    <w:charset w:val="86"/>
    <w:family w:val="auto"/>
    <w:pitch w:val="default"/>
    <w:sig w:usb0="00000001" w:usb1="080E0000" w:usb2="00000000" w:usb3="00000000" w:csb0="00040000" w:csb1="00000000"/>
  </w:font>
  <w:font w:name="@宋体">
    <w:panose1 w:val="02010600030101010101"/>
    <w:charset w:val="86"/>
    <w:family w:val="auto"/>
    <w:pitch w:val="variable"/>
    <w:sig w:usb0="00000003" w:usb1="288F0000" w:usb2="00000006" w:usb3="00000000" w:csb0="00040001" w:csb1="00000000"/>
  </w:font>
  <w:font w:name="@黑体">
    <w:panose1 w:val="02010609060101010101"/>
    <w:charset w:val="86"/>
    <w:family w:val="auto"/>
    <w:pitch w:val="fixed"/>
    <w:sig w:usb0="800002BF" w:usb1="38CF7CFA" w:usb2="00000016" w:usb3="00000000" w:csb0="00040001" w:csb1="00000000"/>
  </w:font>
  <w:font w:name="方正小标宋_GBK">
    <w:altName w:val="Arial Unicode MS"/>
    <w:panose1 w:val="00000000000000000000"/>
    <w:charset w:val="86"/>
    <w:family w:val="auto"/>
    <w:pitch w:val="default"/>
    <w:sig w:usb0="00000001" w:usb1="080E0000" w:usb2="00000000" w:usb3="00000000" w:csb0="00040000" w:csb1="00000000"/>
  </w:font>
  <w:font w:name="@仿宋_GB2312">
    <w:panose1 w:val="02010609030101010101"/>
    <w:charset w:val="86"/>
    <w:family w:val="auto"/>
    <w:pitch w:val="fixed"/>
    <w:sig w:usb0="00000001" w:usb1="080E0000" w:usb2="00000000" w:usb3="00000000" w:csb0="00040000" w:csb1="00000000"/>
  </w:font>
  <w:font w:name="仿宋">
    <w:panose1 w:val="02010609060101010101"/>
    <w:charset w:val="86"/>
    <w:family w:val="auto"/>
    <w:pitch w:val="fixed"/>
    <w:sig w:usb0="800002BF" w:usb1="38CF7CFA" w:usb2="00000016" w:usb3="00000000" w:csb0="00040001" w:csb1="00000000"/>
  </w:font>
  <w:font w:name="@仿宋">
    <w:panose1 w:val="02010609060101010101"/>
    <w:charset w:val="86"/>
    <w:family w:val="auto"/>
    <w:pitch w:val="fixed"/>
    <w:sig w:usb0="800002BF" w:usb1="38CF7CFA" w:usb2="00000016" w:usb3="00000000" w:csb0="00040001" w:csb1="00000000"/>
  </w:font>
  <w:font w:name="@楷体_GB2312">
    <w:panose1 w:val="02010609030101010101"/>
    <w:charset w:val="86"/>
    <w:family w:val="auto"/>
    <w:pitch w:val="fixed"/>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文本框 2" o:spid="_x0000_s4097"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rFonts w:asci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1</w:t>
                </w:r>
                <w:r>
                  <w:rPr>
                    <w:rFonts w:ascii="宋体" w:hAnsi="宋体" w:cs="宋体"/>
                    <w:sz w:val="28"/>
                    <w:szCs w:val="28"/>
                  </w:rPr>
                  <w:fldChar w:fldCharType="end"/>
                </w:r>
                <w:r>
                  <w:rPr>
                    <w:rFonts w:ascii="宋体" w:hAnsi="宋体" w:cs="宋体"/>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1"/>
  <w:bordersDoNotSurroundFooter w:val="1"/>
  <w:documentProtection w:enforcement="0"/>
  <w:defaultTabStop w:val="420"/>
  <w:drawingGridHorizontalSpacing w:val="158"/>
  <w:drawingGridVerticalSpacing w:val="300"/>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6389"/>
    <w:rsid w:val="00003DC1"/>
    <w:rsid w:val="00010E7A"/>
    <w:rsid w:val="00035E54"/>
    <w:rsid w:val="000362D5"/>
    <w:rsid w:val="000503E0"/>
    <w:rsid w:val="000530CA"/>
    <w:rsid w:val="00085C03"/>
    <w:rsid w:val="00096AC1"/>
    <w:rsid w:val="000D5AD6"/>
    <w:rsid w:val="000E07C2"/>
    <w:rsid w:val="000E5057"/>
    <w:rsid w:val="000E7E3F"/>
    <w:rsid w:val="000F17DA"/>
    <w:rsid w:val="0011038A"/>
    <w:rsid w:val="00124D09"/>
    <w:rsid w:val="00126248"/>
    <w:rsid w:val="001363E7"/>
    <w:rsid w:val="001C05FC"/>
    <w:rsid w:val="001C262D"/>
    <w:rsid w:val="001C3D8E"/>
    <w:rsid w:val="00221928"/>
    <w:rsid w:val="0022552F"/>
    <w:rsid w:val="002267FC"/>
    <w:rsid w:val="002406FB"/>
    <w:rsid w:val="00265003"/>
    <w:rsid w:val="00295553"/>
    <w:rsid w:val="002B2CC5"/>
    <w:rsid w:val="002C0F63"/>
    <w:rsid w:val="002C1866"/>
    <w:rsid w:val="002C3142"/>
    <w:rsid w:val="002D1DDC"/>
    <w:rsid w:val="002D4959"/>
    <w:rsid w:val="002D7F7F"/>
    <w:rsid w:val="002E05F8"/>
    <w:rsid w:val="002E4BB0"/>
    <w:rsid w:val="00331A3C"/>
    <w:rsid w:val="00335871"/>
    <w:rsid w:val="00347280"/>
    <w:rsid w:val="00351C26"/>
    <w:rsid w:val="00376CA2"/>
    <w:rsid w:val="00383932"/>
    <w:rsid w:val="00384EAD"/>
    <w:rsid w:val="00392C54"/>
    <w:rsid w:val="003B03B4"/>
    <w:rsid w:val="003B1B70"/>
    <w:rsid w:val="003D0DBB"/>
    <w:rsid w:val="003E12AD"/>
    <w:rsid w:val="003E25E0"/>
    <w:rsid w:val="003E7E24"/>
    <w:rsid w:val="00405075"/>
    <w:rsid w:val="004451A2"/>
    <w:rsid w:val="00452193"/>
    <w:rsid w:val="0046408B"/>
    <w:rsid w:val="00467FE2"/>
    <w:rsid w:val="00477004"/>
    <w:rsid w:val="0049766E"/>
    <w:rsid w:val="004A7168"/>
    <w:rsid w:val="004D2C17"/>
    <w:rsid w:val="004D4C93"/>
    <w:rsid w:val="004D655A"/>
    <w:rsid w:val="004F26CA"/>
    <w:rsid w:val="00510B59"/>
    <w:rsid w:val="0052130A"/>
    <w:rsid w:val="005255E2"/>
    <w:rsid w:val="00534AAD"/>
    <w:rsid w:val="00542540"/>
    <w:rsid w:val="00547109"/>
    <w:rsid w:val="00553CF1"/>
    <w:rsid w:val="00592C15"/>
    <w:rsid w:val="00595A41"/>
    <w:rsid w:val="00617EEA"/>
    <w:rsid w:val="00626C58"/>
    <w:rsid w:val="00642A55"/>
    <w:rsid w:val="00677C74"/>
    <w:rsid w:val="006C0A6E"/>
    <w:rsid w:val="006D7AC2"/>
    <w:rsid w:val="006E5125"/>
    <w:rsid w:val="007035A1"/>
    <w:rsid w:val="00725660"/>
    <w:rsid w:val="00737BF1"/>
    <w:rsid w:val="007519DD"/>
    <w:rsid w:val="007641DC"/>
    <w:rsid w:val="00774FDB"/>
    <w:rsid w:val="007D395E"/>
    <w:rsid w:val="007D712A"/>
    <w:rsid w:val="007F1195"/>
    <w:rsid w:val="00802EA5"/>
    <w:rsid w:val="00820E35"/>
    <w:rsid w:val="00831089"/>
    <w:rsid w:val="008324AF"/>
    <w:rsid w:val="00832614"/>
    <w:rsid w:val="00850EF3"/>
    <w:rsid w:val="0086291B"/>
    <w:rsid w:val="00863B57"/>
    <w:rsid w:val="0086545B"/>
    <w:rsid w:val="008867AE"/>
    <w:rsid w:val="00887363"/>
    <w:rsid w:val="008B1870"/>
    <w:rsid w:val="008F2D13"/>
    <w:rsid w:val="008F2DB2"/>
    <w:rsid w:val="00930267"/>
    <w:rsid w:val="00995FA7"/>
    <w:rsid w:val="009A33C0"/>
    <w:rsid w:val="009A4D1D"/>
    <w:rsid w:val="009D3DF7"/>
    <w:rsid w:val="009D5A8A"/>
    <w:rsid w:val="009E31A2"/>
    <w:rsid w:val="009E7F6E"/>
    <w:rsid w:val="009F29E1"/>
    <w:rsid w:val="00A01306"/>
    <w:rsid w:val="00A05021"/>
    <w:rsid w:val="00A257C1"/>
    <w:rsid w:val="00A40906"/>
    <w:rsid w:val="00A60183"/>
    <w:rsid w:val="00A62F87"/>
    <w:rsid w:val="00A73DDF"/>
    <w:rsid w:val="00A74484"/>
    <w:rsid w:val="00A83AC4"/>
    <w:rsid w:val="00A85D0E"/>
    <w:rsid w:val="00A860E8"/>
    <w:rsid w:val="00AA1220"/>
    <w:rsid w:val="00AA74DE"/>
    <w:rsid w:val="00AA7F8F"/>
    <w:rsid w:val="00AC7068"/>
    <w:rsid w:val="00AD3E7E"/>
    <w:rsid w:val="00B10D27"/>
    <w:rsid w:val="00B475EF"/>
    <w:rsid w:val="00B533C3"/>
    <w:rsid w:val="00B636AA"/>
    <w:rsid w:val="00B77FCF"/>
    <w:rsid w:val="00B97637"/>
    <w:rsid w:val="00BB1309"/>
    <w:rsid w:val="00BB25EF"/>
    <w:rsid w:val="00BB489D"/>
    <w:rsid w:val="00BE14DC"/>
    <w:rsid w:val="00BE3A7A"/>
    <w:rsid w:val="00BE602E"/>
    <w:rsid w:val="00C13920"/>
    <w:rsid w:val="00C13C48"/>
    <w:rsid w:val="00C232F5"/>
    <w:rsid w:val="00C329A2"/>
    <w:rsid w:val="00C43951"/>
    <w:rsid w:val="00C5493E"/>
    <w:rsid w:val="00CA4D80"/>
    <w:rsid w:val="00CB5505"/>
    <w:rsid w:val="00CC0298"/>
    <w:rsid w:val="00CC1D6A"/>
    <w:rsid w:val="00CD699C"/>
    <w:rsid w:val="00CE2372"/>
    <w:rsid w:val="00CE70FC"/>
    <w:rsid w:val="00D4092B"/>
    <w:rsid w:val="00D41479"/>
    <w:rsid w:val="00D4725E"/>
    <w:rsid w:val="00D536BC"/>
    <w:rsid w:val="00DA3FFC"/>
    <w:rsid w:val="00DE026E"/>
    <w:rsid w:val="00DE76C2"/>
    <w:rsid w:val="00DF5DF6"/>
    <w:rsid w:val="00E106AE"/>
    <w:rsid w:val="00E15E40"/>
    <w:rsid w:val="00E2158E"/>
    <w:rsid w:val="00E225C9"/>
    <w:rsid w:val="00E26286"/>
    <w:rsid w:val="00E267B2"/>
    <w:rsid w:val="00E5059C"/>
    <w:rsid w:val="00E50F8C"/>
    <w:rsid w:val="00E527BA"/>
    <w:rsid w:val="00EB653C"/>
    <w:rsid w:val="00EC7C1B"/>
    <w:rsid w:val="00ED139E"/>
    <w:rsid w:val="00EE3BE3"/>
    <w:rsid w:val="00F00D2A"/>
    <w:rsid w:val="00F06053"/>
    <w:rsid w:val="00F13CA6"/>
    <w:rsid w:val="00F32BC7"/>
    <w:rsid w:val="00F34085"/>
    <w:rsid w:val="00F36389"/>
    <w:rsid w:val="00F412C0"/>
    <w:rsid w:val="00F44DD8"/>
    <w:rsid w:val="00F45D5B"/>
    <w:rsid w:val="00F54FBE"/>
    <w:rsid w:val="00F56F15"/>
    <w:rsid w:val="00F608B2"/>
    <w:rsid w:val="00F64A3E"/>
    <w:rsid w:val="00F71DBD"/>
    <w:rsid w:val="00F8031B"/>
    <w:rsid w:val="00F807C1"/>
    <w:rsid w:val="00F9752B"/>
    <w:rsid w:val="00FA110D"/>
    <w:rsid w:val="00FA517D"/>
    <w:rsid w:val="00FB08C5"/>
    <w:rsid w:val="00FC5E59"/>
    <w:rsid w:val="00FD0C6C"/>
    <w:rsid w:val="00FE59E1"/>
    <w:rsid w:val="099F4AE8"/>
    <w:rsid w:val="0C342DC2"/>
    <w:rsid w:val="0E0F27A7"/>
    <w:rsid w:val="10DA507E"/>
    <w:rsid w:val="134C7F01"/>
    <w:rsid w:val="1391023B"/>
    <w:rsid w:val="14EB4464"/>
    <w:rsid w:val="17FF2ECA"/>
    <w:rsid w:val="185D28CB"/>
    <w:rsid w:val="20FA6181"/>
    <w:rsid w:val="23991397"/>
    <w:rsid w:val="290C5130"/>
    <w:rsid w:val="342C46EF"/>
    <w:rsid w:val="35336E7D"/>
    <w:rsid w:val="3664779D"/>
    <w:rsid w:val="39E314DB"/>
    <w:rsid w:val="3F6D52CB"/>
    <w:rsid w:val="434A3B11"/>
    <w:rsid w:val="440452A1"/>
    <w:rsid w:val="464A3F0D"/>
    <w:rsid w:val="48F638C5"/>
    <w:rsid w:val="4FCF4CCB"/>
    <w:rsid w:val="5B8E75CD"/>
    <w:rsid w:val="5BB14ADE"/>
    <w:rsid w:val="5C1F231F"/>
    <w:rsid w:val="5D846D85"/>
    <w:rsid w:val="5F3A3A2A"/>
    <w:rsid w:val="619A32BD"/>
    <w:rsid w:val="6CA57385"/>
    <w:rsid w:val="70CD5701"/>
    <w:rsid w:val="70E27F4C"/>
    <w:rsid w:val="754D296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Layout w:type="fixed"/>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4">
    <w:name w:val="Normal (Web)"/>
    <w:basedOn w:val="1"/>
    <w:unhideWhenUsed/>
    <w:qFormat/>
    <w:uiPriority w:val="99"/>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styleId="6">
    <w:name w:val="page number"/>
    <w:basedOn w:val="5"/>
    <w:qFormat/>
    <w:uiPriority w:val="99"/>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 w:type="character" w:customStyle="1" w:styleId="10">
    <w:name w:val="bt"/>
    <w:basedOn w:val="5"/>
    <w:qFormat/>
    <w:uiPriority w:val="0"/>
  </w:style>
  <w:style w:type="paragraph" w:customStyle="1" w:styleId="11">
    <w:name w:val="List Paragraph1"/>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Times New Roman"/>
      <w:kern w:val="2"/>
      <w:sz w:val="21"/>
      <w:szCs w:val="24"/>
      <w:lang w:val="en-US" w:eastAsia="zh-CN" w:bidi="ar"/>
    </w:rPr>
  </w:style>
  <w:style w:type="character" w:customStyle="1" w:styleId="12">
    <w:name w:val="show-bt1"/>
    <w:basedOn w:val="5"/>
    <w:qFormat/>
    <w:uiPriority w:val="0"/>
    <w:rPr>
      <w:b/>
      <w:color w:val="000000"/>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29</Pages>
  <Words>13012</Words>
  <Characters>476</Characters>
  <Lines>3</Lines>
  <Paragraphs>26</Paragraphs>
  <TotalTime>0</TotalTime>
  <ScaleCrop>false</ScaleCrop>
  <LinksUpToDate>false</LinksUpToDate>
  <CharactersWithSpaces>13462</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2017-03-14T09:26:00Z</dcterms:created>
  <dc:creator>Microsoft</dc:creator>
  <cp:lastModifiedBy>Administrator</cp:lastModifiedBy>
  <cp:lastPrinted>2016-10-12T01:42:00Z</cp:lastPrinted>
  <dcterms:modified xsi:type="dcterms:W3CDTF">2019-04-25T02:40:57Z</dcterms:modified>
  <dc:title>贵州省消费者权益保护条例</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