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color w:val="000000"/>
          <w:spacing w:val="0"/>
          <w:kern w:val="0"/>
          <w:sz w:val="32"/>
          <w:szCs w:val="32"/>
        </w:rPr>
      </w:pPr>
      <w:bookmarkStart w:id="0" w:name="_GoBack"/>
      <w:bookmarkEnd w:id="0"/>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color w:val="000000"/>
          <w:spacing w:val="0"/>
          <w:kern w:val="0"/>
          <w:sz w:val="44"/>
          <w:szCs w:val="44"/>
        </w:rPr>
      </w:pPr>
      <w:r>
        <w:rPr>
          <w:rFonts w:hint="eastAsia" w:ascii="宋体" w:hAnsi="宋体" w:eastAsia="宋体" w:cs="宋体"/>
          <w:b w:val="0"/>
          <w:bCs/>
          <w:color w:val="000000"/>
          <w:spacing w:val="0"/>
          <w:kern w:val="0"/>
          <w:sz w:val="44"/>
          <w:szCs w:val="44"/>
        </w:rPr>
        <w:t>宁夏回族自治区财政监督条例</w:t>
      </w:r>
    </w:p>
    <w:p>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color w:val="000000"/>
          <w:spacing w:val="0"/>
          <w:kern w:val="0"/>
          <w:sz w:val="32"/>
          <w:szCs w:val="32"/>
        </w:rPr>
      </w:pPr>
    </w:p>
    <w:p>
      <w:pPr>
        <w:adjustRightInd w:val="0"/>
        <w:snapToGrid w:val="0"/>
        <w:spacing w:line="578" w:lineRule="exact"/>
        <w:ind w:left="640" w:leftChars="0" w:right="531" w:rightChars="253" w:hanging="640" w:hangingChars="200"/>
        <w:jc w:val="both"/>
        <w:rPr>
          <w:rFonts w:hint="eastAsia" w:ascii="楷体" w:hAnsi="楷体" w:eastAsia="楷体" w:cs="楷体"/>
          <w:color w:val="000000"/>
          <w:spacing w:val="0"/>
          <w:sz w:val="32"/>
          <w:szCs w:val="32"/>
        </w:rPr>
      </w:pPr>
      <w:r>
        <w:rPr>
          <w:rFonts w:hint="eastAsia" w:ascii="楷体" w:hAnsi="楷体" w:eastAsia="楷体" w:cs="楷体"/>
          <w:color w:val="000000"/>
          <w:spacing w:val="0"/>
          <w:sz w:val="32"/>
          <w:szCs w:val="32"/>
          <w:lang w:val="en-US" w:eastAsia="zh-CN"/>
        </w:rPr>
        <w:t xml:space="preserve">    （</w:t>
      </w:r>
      <w:r>
        <w:rPr>
          <w:rFonts w:hint="eastAsia" w:ascii="楷体" w:hAnsi="楷体" w:eastAsia="楷体" w:cs="楷体"/>
          <w:color w:val="000000"/>
          <w:spacing w:val="0"/>
          <w:sz w:val="32"/>
          <w:szCs w:val="32"/>
        </w:rPr>
        <w:t>2012年8月1日宁夏回族自治区第十届人民代表大会常务委员会第三十一次会议通过</w:t>
      </w:r>
      <w:r>
        <w:rPr>
          <w:rFonts w:hint="eastAsia" w:ascii="楷体" w:hAnsi="楷体" w:eastAsia="楷体" w:cs="楷体"/>
          <w:color w:val="000000"/>
          <w:spacing w:val="0"/>
          <w:sz w:val="32"/>
          <w:szCs w:val="32"/>
          <w:lang w:val="en-US" w:eastAsia="zh-CN"/>
        </w:rPr>
        <w:t xml:space="preserve">  </w:t>
      </w:r>
      <w:r>
        <w:rPr>
          <w:rFonts w:hint="eastAsia" w:ascii="楷体" w:hAnsi="楷体" w:eastAsia="楷体" w:cs="楷体"/>
          <w:bCs/>
          <w:color w:val="000000"/>
          <w:spacing w:val="0"/>
          <w:sz w:val="32"/>
          <w:szCs w:val="32"/>
          <w:lang w:eastAsia="zh-CN"/>
        </w:rPr>
        <w:t>根据</w:t>
      </w:r>
      <w:r>
        <w:rPr>
          <w:rFonts w:hint="eastAsia" w:ascii="楷体" w:hAnsi="楷体" w:eastAsia="楷体" w:cs="楷体"/>
          <w:bCs/>
          <w:color w:val="000000"/>
          <w:spacing w:val="0"/>
          <w:sz w:val="32"/>
          <w:szCs w:val="32"/>
        </w:rPr>
        <w:t>201</w:t>
      </w:r>
      <w:r>
        <w:rPr>
          <w:rFonts w:hint="eastAsia" w:ascii="楷体" w:hAnsi="楷体" w:eastAsia="楷体" w:cs="楷体"/>
          <w:bCs/>
          <w:color w:val="000000"/>
          <w:spacing w:val="0"/>
          <w:sz w:val="32"/>
          <w:szCs w:val="32"/>
          <w:lang w:val="en-US" w:eastAsia="zh-CN"/>
        </w:rPr>
        <w:t>9</w:t>
      </w:r>
      <w:r>
        <w:rPr>
          <w:rFonts w:hint="eastAsia" w:ascii="楷体" w:hAnsi="楷体" w:eastAsia="楷体" w:cs="楷体"/>
          <w:bCs/>
          <w:color w:val="000000"/>
          <w:spacing w:val="0"/>
          <w:sz w:val="32"/>
          <w:szCs w:val="32"/>
        </w:rPr>
        <w:t>年</w:t>
      </w:r>
      <w:r>
        <w:rPr>
          <w:rFonts w:hint="eastAsia" w:ascii="楷体" w:hAnsi="楷体" w:eastAsia="楷体" w:cs="楷体"/>
          <w:bCs/>
          <w:color w:val="000000"/>
          <w:spacing w:val="0"/>
          <w:sz w:val="32"/>
          <w:szCs w:val="32"/>
          <w:lang w:val="en-US" w:eastAsia="zh-CN"/>
        </w:rPr>
        <w:t>3</w:t>
      </w:r>
      <w:r>
        <w:rPr>
          <w:rFonts w:hint="eastAsia" w:ascii="楷体" w:hAnsi="楷体" w:eastAsia="楷体" w:cs="楷体"/>
          <w:bCs/>
          <w:color w:val="000000"/>
          <w:spacing w:val="0"/>
          <w:sz w:val="32"/>
          <w:szCs w:val="32"/>
        </w:rPr>
        <w:t>月</w:t>
      </w:r>
      <w:r>
        <w:rPr>
          <w:rFonts w:hint="eastAsia" w:ascii="楷体" w:hAnsi="楷体" w:eastAsia="楷体" w:cs="楷体"/>
          <w:bCs/>
          <w:color w:val="000000"/>
          <w:spacing w:val="0"/>
          <w:sz w:val="32"/>
          <w:szCs w:val="32"/>
          <w:lang w:val="en-US" w:eastAsia="zh-CN"/>
        </w:rPr>
        <w:t>26</w:t>
      </w:r>
      <w:r>
        <w:rPr>
          <w:rFonts w:hint="eastAsia" w:ascii="楷体" w:hAnsi="楷体" w:eastAsia="楷体" w:cs="楷体"/>
          <w:bCs/>
          <w:color w:val="000000"/>
          <w:spacing w:val="0"/>
          <w:sz w:val="32"/>
          <w:szCs w:val="32"/>
        </w:rPr>
        <w:t>日</w:t>
      </w:r>
      <w:r>
        <w:rPr>
          <w:rFonts w:hint="eastAsia" w:ascii="楷体" w:hAnsi="楷体" w:eastAsia="楷体" w:cs="楷体"/>
          <w:bCs/>
          <w:color w:val="000000"/>
          <w:spacing w:val="0"/>
          <w:sz w:val="32"/>
          <w:szCs w:val="32"/>
          <w:lang w:eastAsia="zh-CN"/>
        </w:rPr>
        <w:t>宁夏回族</w:t>
      </w:r>
      <w:r>
        <w:rPr>
          <w:rFonts w:hint="eastAsia" w:ascii="楷体" w:hAnsi="楷体" w:eastAsia="楷体" w:cs="楷体"/>
          <w:bCs/>
          <w:color w:val="000000"/>
          <w:spacing w:val="0"/>
          <w:sz w:val="32"/>
          <w:szCs w:val="32"/>
        </w:rPr>
        <w:t>自治区第十</w:t>
      </w:r>
      <w:r>
        <w:rPr>
          <w:rFonts w:hint="eastAsia" w:ascii="楷体" w:hAnsi="楷体" w:eastAsia="楷体" w:cs="楷体"/>
          <w:bCs/>
          <w:color w:val="000000"/>
          <w:spacing w:val="0"/>
          <w:sz w:val="32"/>
          <w:szCs w:val="32"/>
          <w:lang w:eastAsia="zh-CN"/>
        </w:rPr>
        <w:t>二</w:t>
      </w:r>
      <w:r>
        <w:rPr>
          <w:rFonts w:hint="eastAsia" w:ascii="楷体" w:hAnsi="楷体" w:eastAsia="楷体" w:cs="楷体"/>
          <w:bCs/>
          <w:color w:val="000000"/>
          <w:spacing w:val="0"/>
          <w:sz w:val="32"/>
          <w:szCs w:val="32"/>
        </w:rPr>
        <w:t>届人民代表大会常务委员会第</w:t>
      </w:r>
      <w:r>
        <w:rPr>
          <w:rFonts w:hint="eastAsia" w:ascii="楷体" w:hAnsi="楷体" w:eastAsia="楷体" w:cs="楷体"/>
          <w:bCs/>
          <w:color w:val="000000"/>
          <w:spacing w:val="0"/>
          <w:sz w:val="32"/>
          <w:szCs w:val="32"/>
          <w:lang w:eastAsia="zh-CN"/>
        </w:rPr>
        <w:t>十一</w:t>
      </w:r>
      <w:r>
        <w:rPr>
          <w:rFonts w:hint="eastAsia" w:ascii="楷体" w:hAnsi="楷体" w:eastAsia="楷体" w:cs="楷体"/>
          <w:bCs/>
          <w:color w:val="000000"/>
          <w:spacing w:val="0"/>
          <w:sz w:val="32"/>
          <w:szCs w:val="32"/>
        </w:rPr>
        <w:t>次会议</w:t>
      </w:r>
      <w:r>
        <w:rPr>
          <w:rFonts w:hint="eastAsia" w:ascii="楷体" w:hAnsi="楷体" w:eastAsia="楷体" w:cs="楷体"/>
          <w:color w:val="000000"/>
          <w:spacing w:val="0"/>
          <w:sz w:val="32"/>
          <w:szCs w:val="32"/>
        </w:rPr>
        <w:t>《</w:t>
      </w:r>
      <w:r>
        <w:rPr>
          <w:rFonts w:hint="eastAsia" w:ascii="楷体" w:hAnsi="楷体" w:eastAsia="楷体" w:cs="楷体"/>
          <w:color w:val="000000"/>
          <w:spacing w:val="0"/>
          <w:sz w:val="32"/>
          <w:szCs w:val="32"/>
          <w:lang w:eastAsia="zh-CN"/>
        </w:rPr>
        <w:t>关于修改</w:t>
      </w:r>
      <w:r>
        <w:rPr>
          <w:rFonts w:hint="eastAsia" w:ascii="楷体" w:hAnsi="楷体" w:eastAsia="楷体" w:cs="楷体"/>
          <w:color w:val="000000"/>
          <w:spacing w:val="0"/>
          <w:sz w:val="32"/>
          <w:szCs w:val="32"/>
        </w:rPr>
        <w:t>〈</w:t>
      </w:r>
      <w:r>
        <w:rPr>
          <w:rFonts w:hint="eastAsia" w:ascii="楷体" w:hAnsi="楷体" w:eastAsia="楷体" w:cs="楷体"/>
          <w:color w:val="000000"/>
          <w:spacing w:val="0"/>
          <w:sz w:val="32"/>
          <w:szCs w:val="32"/>
          <w:lang w:eastAsia="zh-CN"/>
        </w:rPr>
        <w:t>宁夏回族自治区商品交易市场管理条例</w:t>
      </w:r>
      <w:r>
        <w:rPr>
          <w:rFonts w:hint="eastAsia" w:ascii="楷体" w:hAnsi="楷体" w:eastAsia="楷体" w:cs="楷体"/>
          <w:color w:val="000000"/>
          <w:spacing w:val="0"/>
          <w:sz w:val="32"/>
          <w:szCs w:val="32"/>
        </w:rPr>
        <w:t>〉等1</w:t>
      </w:r>
      <w:r>
        <w:rPr>
          <w:rFonts w:hint="eastAsia" w:ascii="楷体" w:hAnsi="楷体" w:eastAsia="楷体" w:cs="楷体"/>
          <w:color w:val="000000"/>
          <w:spacing w:val="0"/>
          <w:sz w:val="32"/>
          <w:szCs w:val="32"/>
          <w:lang w:val="en-US" w:eastAsia="zh-CN"/>
        </w:rPr>
        <w:t>8件地方性法规的决定</w:t>
      </w:r>
      <w:r>
        <w:rPr>
          <w:rFonts w:hint="eastAsia" w:ascii="楷体" w:hAnsi="楷体" w:eastAsia="楷体" w:cs="楷体"/>
          <w:color w:val="000000"/>
          <w:spacing w:val="0"/>
          <w:sz w:val="32"/>
          <w:szCs w:val="32"/>
        </w:rPr>
        <w:t>》</w:t>
      </w:r>
      <w:r>
        <w:rPr>
          <w:rFonts w:hint="eastAsia" w:ascii="楷体" w:hAnsi="楷体" w:eastAsia="楷体" w:cs="楷体"/>
          <w:color w:val="000000"/>
          <w:spacing w:val="0"/>
          <w:sz w:val="32"/>
          <w:szCs w:val="32"/>
          <w:lang w:eastAsia="zh-CN"/>
        </w:rPr>
        <w:t>修正</w:t>
      </w:r>
      <w:r>
        <w:rPr>
          <w:rFonts w:hint="eastAsia" w:ascii="楷体" w:hAnsi="楷体" w:eastAsia="楷体" w:cs="楷体"/>
          <w:color w:val="000000"/>
          <w:spacing w:val="0"/>
          <w:sz w:val="32"/>
          <w:szCs w:val="32"/>
        </w:rPr>
        <w:t>）</w:t>
      </w:r>
    </w:p>
    <w:p>
      <w:pPr>
        <w:widowControl w:val="0"/>
        <w:wordWrap/>
        <w:adjustRightInd/>
        <w:snapToGrid/>
        <w:spacing w:line="580" w:lineRule="exact"/>
        <w:ind w:left="0" w:leftChars="0" w:right="0" w:firstLine="0" w:firstLineChars="0"/>
        <w:jc w:val="both"/>
        <w:textAlignment w:val="auto"/>
        <w:outlineLvl w:val="9"/>
        <w:rPr>
          <w:rFonts w:hint="eastAsia" w:ascii="宋体" w:hAnsi="宋体" w:eastAsia="宋体" w:cs="宋体"/>
          <w:color w:val="000000"/>
          <w:spacing w:val="0"/>
          <w:sz w:val="32"/>
          <w:szCs w:val="32"/>
        </w:rPr>
      </w:pPr>
    </w:p>
    <w:p>
      <w:pPr>
        <w:widowControl w:val="0"/>
        <w:wordWrap/>
        <w:adjustRightInd/>
        <w:snapToGrid/>
        <w:spacing w:line="580" w:lineRule="exact"/>
        <w:jc w:val="center"/>
        <w:textAlignment w:val="auto"/>
        <w:outlineLvl w:val="9"/>
        <w:rPr>
          <w:rFonts w:hint="eastAsia" w:ascii="楷体_GB2312" w:hAnsi="楷体_GB2312" w:eastAsia="楷体_GB2312" w:cs="楷体_GB2312"/>
          <w:color w:val="000000"/>
          <w:spacing w:val="0"/>
          <w:w w:val="102"/>
          <w:sz w:val="32"/>
          <w:szCs w:val="32"/>
          <w:lang w:eastAsia="zh-CN"/>
        </w:rPr>
      </w:pPr>
      <w:r>
        <w:rPr>
          <w:rFonts w:hint="eastAsia" w:ascii="楷体_GB2312" w:hAnsi="楷体_GB2312" w:eastAsia="楷体_GB2312" w:cs="楷体_GB2312"/>
          <w:color w:val="000000"/>
          <w:spacing w:val="0"/>
          <w:w w:val="102"/>
          <w:sz w:val="32"/>
          <w:szCs w:val="32"/>
          <w:lang w:eastAsia="zh-CN"/>
        </w:rPr>
        <w:t>目</w:t>
      </w: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lang w:eastAsia="zh-CN"/>
        </w:rPr>
        <w:t>录</w:t>
      </w:r>
    </w:p>
    <w:p>
      <w:pPr>
        <w:widowControl w:val="0"/>
        <w:numPr>
          <w:ilvl w:val="0"/>
          <w:numId w:val="0"/>
        </w:numPr>
        <w:tabs>
          <w:tab w:val="left" w:pos="0"/>
        </w:tabs>
        <w:wordWrap/>
        <w:adjustRightInd/>
        <w:snapToGrid/>
        <w:spacing w:line="580" w:lineRule="exact"/>
        <w:ind w:left="0" w:leftChars="0" w:firstLine="599" w:firstLineChars="199"/>
        <w:textAlignment w:val="auto"/>
        <w:outlineLvl w:val="9"/>
        <w:rPr>
          <w:rFonts w:hint="eastAsia" w:ascii="楷体_GB2312" w:hAnsi="楷体_GB2312" w:eastAsia="楷体_GB2312" w:cs="楷体_GB2312"/>
          <w:color w:val="000000"/>
          <w:spacing w:val="0"/>
          <w:w w:val="102"/>
          <w:sz w:val="32"/>
          <w:szCs w:val="32"/>
          <w:lang w:val="en-US" w:eastAsia="zh-CN"/>
        </w:rPr>
      </w:pPr>
      <w:r>
        <w:rPr>
          <w:rFonts w:hint="eastAsia" w:ascii="楷体_GB2312" w:hAnsi="楷体_GB2312" w:eastAsia="楷体_GB2312" w:cs="楷体_GB2312"/>
          <w:color w:val="000000"/>
          <w:spacing w:val="0"/>
          <w:w w:val="102"/>
          <w:sz w:val="32"/>
          <w:szCs w:val="32"/>
        </w:rPr>
        <w:t>第一章</w:t>
      </w: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总则</w:t>
      </w:r>
      <w:r>
        <w:rPr>
          <w:rFonts w:hint="eastAsia" w:ascii="楷体_GB2312" w:hAnsi="楷体_GB2312" w:eastAsia="楷体_GB2312" w:cs="楷体_GB2312"/>
          <w:color w:val="000000"/>
          <w:spacing w:val="0"/>
          <w:w w:val="102"/>
          <w:sz w:val="32"/>
          <w:szCs w:val="32"/>
          <w:lang w:val="en-US" w:eastAsia="zh-CN"/>
        </w:rPr>
        <w:t xml:space="preserve"> </w:t>
      </w:r>
    </w:p>
    <w:p>
      <w:pPr>
        <w:widowControl w:val="0"/>
        <w:numPr>
          <w:ilvl w:val="0"/>
          <w:numId w:val="0"/>
        </w:numPr>
        <w:wordWrap/>
        <w:adjustRightInd/>
        <w:snapToGrid/>
        <w:spacing w:line="580" w:lineRule="exact"/>
        <w:jc w:val="both"/>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第二章　</w:t>
      </w:r>
      <w:r>
        <w:rPr>
          <w:rFonts w:hint="eastAsia" w:ascii="楷体_GB2312" w:hAnsi="楷体_GB2312" w:eastAsia="楷体_GB2312" w:cs="楷体_GB2312"/>
          <w:color w:val="000000"/>
          <w:spacing w:val="0"/>
          <w:w w:val="102"/>
          <w:sz w:val="32"/>
          <w:szCs w:val="32"/>
          <w:lang w:eastAsia="zh-CN"/>
        </w:rPr>
        <w:t>监督内容和权限</w:t>
      </w:r>
    </w:p>
    <w:p>
      <w:pPr>
        <w:widowControl w:val="0"/>
        <w:numPr>
          <w:ilvl w:val="0"/>
          <w:numId w:val="0"/>
        </w:numPr>
        <w:wordWrap/>
        <w:adjustRightInd/>
        <w:snapToGrid/>
        <w:spacing w:line="580" w:lineRule="exact"/>
        <w:jc w:val="both"/>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第三章　</w:t>
      </w:r>
      <w:r>
        <w:rPr>
          <w:rFonts w:hint="eastAsia" w:ascii="楷体_GB2312" w:hAnsi="楷体_GB2312" w:eastAsia="楷体_GB2312" w:cs="楷体_GB2312"/>
          <w:color w:val="000000"/>
          <w:spacing w:val="0"/>
          <w:w w:val="102"/>
          <w:sz w:val="32"/>
          <w:szCs w:val="32"/>
          <w:lang w:eastAsia="zh-CN"/>
        </w:rPr>
        <w:t>监督方式和程序</w:t>
      </w:r>
    </w:p>
    <w:p>
      <w:pPr>
        <w:widowControl w:val="0"/>
        <w:numPr>
          <w:ilvl w:val="0"/>
          <w:numId w:val="0"/>
        </w:numPr>
        <w:wordWrap/>
        <w:adjustRightInd/>
        <w:snapToGrid/>
        <w:spacing w:line="580" w:lineRule="exact"/>
        <w:jc w:val="both"/>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第</w:t>
      </w:r>
      <w:r>
        <w:rPr>
          <w:rFonts w:hint="eastAsia" w:ascii="楷体_GB2312" w:hAnsi="楷体_GB2312" w:eastAsia="楷体_GB2312" w:cs="楷体_GB2312"/>
          <w:color w:val="000000"/>
          <w:spacing w:val="0"/>
          <w:w w:val="102"/>
          <w:sz w:val="32"/>
          <w:szCs w:val="32"/>
          <w:lang w:eastAsia="zh-CN"/>
        </w:rPr>
        <w:t>四</w:t>
      </w:r>
      <w:r>
        <w:rPr>
          <w:rFonts w:hint="eastAsia" w:ascii="楷体_GB2312" w:hAnsi="楷体_GB2312" w:eastAsia="楷体_GB2312" w:cs="楷体_GB2312"/>
          <w:color w:val="000000"/>
          <w:spacing w:val="0"/>
          <w:w w:val="102"/>
          <w:sz w:val="32"/>
          <w:szCs w:val="32"/>
        </w:rPr>
        <w:t>章　</w:t>
      </w:r>
      <w:r>
        <w:rPr>
          <w:rFonts w:hint="eastAsia" w:ascii="楷体_GB2312" w:hAnsi="楷体_GB2312" w:eastAsia="楷体_GB2312" w:cs="楷体_GB2312"/>
          <w:color w:val="000000"/>
          <w:spacing w:val="0"/>
          <w:w w:val="102"/>
          <w:sz w:val="32"/>
          <w:szCs w:val="32"/>
          <w:lang w:eastAsia="zh-CN"/>
        </w:rPr>
        <w:t>法律责任</w:t>
      </w:r>
    </w:p>
    <w:p>
      <w:pPr>
        <w:widowControl w:val="0"/>
        <w:numPr>
          <w:ilvl w:val="0"/>
          <w:numId w:val="0"/>
        </w:numPr>
        <w:wordWrap/>
        <w:adjustRightInd/>
        <w:snapToGrid/>
        <w:spacing w:line="580" w:lineRule="exact"/>
        <w:ind w:left="0" w:leftChars="0" w:firstLine="599" w:firstLineChars="199"/>
        <w:jc w:val="both"/>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rPr>
        <w:t>第</w:t>
      </w:r>
      <w:r>
        <w:rPr>
          <w:rFonts w:hint="eastAsia" w:ascii="楷体_GB2312" w:hAnsi="楷体_GB2312" w:eastAsia="楷体_GB2312" w:cs="楷体_GB2312"/>
          <w:color w:val="000000"/>
          <w:spacing w:val="0"/>
          <w:w w:val="102"/>
          <w:sz w:val="32"/>
          <w:szCs w:val="32"/>
          <w:lang w:eastAsia="zh-CN"/>
        </w:rPr>
        <w:t>五</w:t>
      </w:r>
      <w:r>
        <w:rPr>
          <w:rFonts w:hint="eastAsia" w:ascii="楷体_GB2312" w:hAnsi="楷体_GB2312" w:eastAsia="楷体_GB2312" w:cs="楷体_GB2312"/>
          <w:color w:val="000000"/>
          <w:spacing w:val="0"/>
          <w:w w:val="102"/>
          <w:sz w:val="32"/>
          <w:szCs w:val="32"/>
        </w:rPr>
        <w:t>章</w:t>
      </w: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附则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599" w:firstLineChars="199"/>
        <w:jc w:val="both"/>
        <w:textAlignment w:val="auto"/>
        <w:outlineLvl w:val="9"/>
        <w:rPr>
          <w:rFonts w:hint="eastAsia" w:ascii="楷体_GB2312" w:hAnsi="楷体_GB2312" w:eastAsia="楷体_GB2312" w:cs="楷体_GB2312"/>
          <w:color w:val="000000"/>
          <w:spacing w:val="0"/>
          <w:w w:val="102"/>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left="0" w:leftChars="0" w:right="0" w:rightChars="0" w:firstLine="480"/>
        <w:jc w:val="center"/>
        <w:textAlignment w:val="auto"/>
        <w:outlineLvl w:val="9"/>
        <w:rPr>
          <w:rFonts w:hint="eastAsia" w:ascii="黑体" w:hAnsi="黑体" w:eastAsia="黑体" w:cs="黑体"/>
          <w:b w:val="0"/>
          <w:bCs w:val="0"/>
          <w:color w:val="000000"/>
          <w:spacing w:val="0"/>
          <w:kern w:val="0"/>
          <w:sz w:val="32"/>
          <w:szCs w:val="32"/>
        </w:rPr>
      </w:pPr>
      <w:r>
        <w:rPr>
          <w:rFonts w:hint="eastAsia" w:ascii="黑体" w:hAnsi="黑体" w:eastAsia="黑体" w:cs="黑体"/>
          <w:b w:val="0"/>
          <w:bCs w:val="0"/>
          <w:color w:val="000000"/>
          <w:spacing w:val="0"/>
          <w:kern w:val="0"/>
          <w:sz w:val="32"/>
          <w:szCs w:val="32"/>
        </w:rPr>
        <w:t>第一章</w:t>
      </w:r>
      <w:r>
        <w:rPr>
          <w:rFonts w:hint="eastAsia" w:ascii="黑体" w:hAnsi="黑体" w:eastAsia="黑体" w:cs="黑体"/>
          <w:b w:val="0"/>
          <w:bCs w:val="0"/>
          <w:color w:val="000000"/>
          <w:spacing w:val="0"/>
          <w:kern w:val="0"/>
          <w:sz w:val="32"/>
          <w:szCs w:val="32"/>
          <w:lang w:val="en-US" w:eastAsia="zh-CN"/>
        </w:rPr>
        <w:t xml:space="preserve">  </w:t>
      </w:r>
      <w:r>
        <w:rPr>
          <w:rFonts w:hint="eastAsia" w:ascii="黑体" w:hAnsi="黑体" w:eastAsia="黑体" w:cs="黑体"/>
          <w:b w:val="0"/>
          <w:bCs w:val="0"/>
          <w:color w:val="000000"/>
          <w:spacing w:val="0"/>
          <w:kern w:val="0"/>
          <w:sz w:val="32"/>
          <w:szCs w:val="32"/>
        </w:rPr>
        <w:t>总则</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left="0" w:leftChars="0" w:right="0" w:rightChars="0" w:firstLine="480"/>
        <w:jc w:val="both"/>
        <w:textAlignment w:val="auto"/>
        <w:outlineLvl w:val="9"/>
        <w:rPr>
          <w:rFonts w:hint="eastAsia" w:ascii="黑体" w:hAnsi="黑体" w:eastAsia="黑体" w:cs="黑体"/>
          <w:b w:val="0"/>
          <w:bCs w:val="0"/>
          <w:color w:val="000000"/>
          <w:spacing w:val="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val="0"/>
          <w:color w:val="000000"/>
          <w:spacing w:val="0"/>
          <w:kern w:val="0"/>
          <w:sz w:val="32"/>
          <w:szCs w:val="32"/>
        </w:rPr>
        <w:t>第一条</w:t>
      </w:r>
      <w:r>
        <w:rPr>
          <w:rFonts w:hint="eastAsia" w:ascii="仿宋_GB2312" w:hAnsi="仿宋_GB2312" w:eastAsia="仿宋_GB2312" w:cs="仿宋_GB2312"/>
          <w:b/>
          <w:bCs/>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为了加强财政监督工作，规范财政监督行为，维护财政经济秩序，根据有关法律、法规，结合自治区实际，制定本条例。</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val="0"/>
          <w:color w:val="000000"/>
          <w:spacing w:val="0"/>
          <w:kern w:val="0"/>
          <w:sz w:val="32"/>
          <w:szCs w:val="32"/>
        </w:rPr>
        <w:t>第二条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县级以上人民政府财政部门对国家机关、企业事业单位、社会团体，以及其他组织和个人（以下统称被监督对象）涉及财政、财务和会计等事项实施的核查、监控和处理等活动，适用本条例。</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val="0"/>
          <w:color w:val="000000"/>
          <w:spacing w:val="0"/>
          <w:kern w:val="0"/>
          <w:sz w:val="32"/>
          <w:szCs w:val="32"/>
        </w:rPr>
        <w:t>第三条</w:t>
      </w:r>
      <w:r>
        <w:rPr>
          <w:rFonts w:hint="eastAsia" w:ascii="仿宋_GB2312" w:hAnsi="仿宋_GB2312" w:eastAsia="仿宋_GB2312" w:cs="仿宋_GB2312"/>
          <w:b/>
          <w:bCs/>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财政监督应当遵循客观、公正、公开的原则，坚持日常监督和专项监督相结合、源头监管和过程监督相结合。</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val="0"/>
          <w:color w:val="000000"/>
          <w:spacing w:val="0"/>
          <w:kern w:val="0"/>
          <w:sz w:val="32"/>
          <w:szCs w:val="32"/>
        </w:rPr>
        <w:t>第四条</w:t>
      </w:r>
      <w:r>
        <w:rPr>
          <w:rFonts w:hint="eastAsia" w:ascii="仿宋_GB2312" w:hAnsi="仿宋_GB2312" w:eastAsia="仿宋_GB2312" w:cs="仿宋_GB2312"/>
          <w:b/>
          <w:bCs/>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县级以上人民政府应当建立健全财政、审计、税务等部门监督工作的协调机制，统筹安排监督事项。</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val="0"/>
          <w:color w:val="000000"/>
          <w:spacing w:val="0"/>
          <w:kern w:val="0"/>
          <w:sz w:val="32"/>
          <w:szCs w:val="32"/>
        </w:rPr>
        <w:t>第五条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开展财政监督，不得收取任何费用，所需经费列入本级财政预算。</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val="0"/>
          <w:color w:val="000000"/>
          <w:spacing w:val="0"/>
          <w:kern w:val="0"/>
          <w:sz w:val="32"/>
          <w:szCs w:val="32"/>
        </w:rPr>
        <w:t>第六条</w:t>
      </w:r>
      <w:r>
        <w:rPr>
          <w:rFonts w:hint="eastAsia" w:ascii="仿宋_GB2312" w:hAnsi="仿宋_GB2312" w:eastAsia="仿宋_GB2312" w:cs="仿宋_GB2312"/>
          <w:b/>
          <w:bCs/>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任何单位和个人有权举报财政、财务、会计违法行为。</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财政部门应当依法受理举报，并为举报人保密。</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left="0" w:leftChars="0" w:right="0" w:rightChars="0" w:firstLine="640"/>
        <w:jc w:val="left"/>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left="0" w:leftChars="0" w:right="0" w:rightChars="0" w:firstLine="480"/>
        <w:jc w:val="center"/>
        <w:textAlignment w:val="auto"/>
        <w:outlineLvl w:val="9"/>
        <w:rPr>
          <w:rFonts w:hint="eastAsia" w:ascii="黑体" w:hAnsi="黑体" w:eastAsia="黑体" w:cs="黑体"/>
          <w:b w:val="0"/>
          <w:bCs w:val="0"/>
          <w:color w:val="000000"/>
          <w:spacing w:val="0"/>
          <w:kern w:val="0"/>
          <w:sz w:val="32"/>
          <w:szCs w:val="32"/>
        </w:rPr>
      </w:pPr>
      <w:r>
        <w:rPr>
          <w:rFonts w:hint="eastAsia" w:ascii="黑体" w:hAnsi="黑体" w:eastAsia="黑体" w:cs="黑体"/>
          <w:b w:val="0"/>
          <w:bCs w:val="0"/>
          <w:color w:val="000000"/>
          <w:spacing w:val="0"/>
          <w:kern w:val="0"/>
          <w:sz w:val="32"/>
          <w:szCs w:val="32"/>
        </w:rPr>
        <w:t>第二章</w:t>
      </w:r>
      <w:r>
        <w:rPr>
          <w:rFonts w:hint="eastAsia" w:ascii="黑体" w:hAnsi="黑体" w:eastAsia="黑体" w:cs="黑体"/>
          <w:b w:val="0"/>
          <w:bCs w:val="0"/>
          <w:color w:val="000000"/>
          <w:spacing w:val="0"/>
          <w:kern w:val="0"/>
          <w:sz w:val="32"/>
          <w:szCs w:val="32"/>
          <w:lang w:val="en-US" w:eastAsia="zh-CN"/>
        </w:rPr>
        <w:t xml:space="preserve">  </w:t>
      </w:r>
      <w:r>
        <w:rPr>
          <w:rFonts w:hint="eastAsia" w:ascii="黑体" w:hAnsi="黑体" w:eastAsia="黑体" w:cs="黑体"/>
          <w:b w:val="0"/>
          <w:bCs w:val="0"/>
          <w:color w:val="000000"/>
          <w:spacing w:val="0"/>
          <w:kern w:val="0"/>
          <w:sz w:val="32"/>
          <w:szCs w:val="32"/>
        </w:rPr>
        <w:t>监督内容和权限</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left="0" w:leftChars="0" w:right="0" w:rightChars="0" w:firstLine="480"/>
        <w:jc w:val="center"/>
        <w:textAlignment w:val="auto"/>
        <w:outlineLvl w:val="9"/>
        <w:rPr>
          <w:rFonts w:hint="eastAsia" w:ascii="黑体" w:hAnsi="黑体" w:eastAsia="黑体" w:cs="黑体"/>
          <w:b w:val="0"/>
          <w:bCs w:val="0"/>
          <w:color w:val="000000"/>
          <w:spacing w:val="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val="0"/>
          <w:color w:val="000000"/>
          <w:spacing w:val="0"/>
          <w:kern w:val="0"/>
          <w:sz w:val="32"/>
          <w:szCs w:val="32"/>
        </w:rPr>
        <w:t>第七条</w:t>
      </w:r>
      <w:r>
        <w:rPr>
          <w:rFonts w:hint="eastAsia" w:ascii="黑体" w:hAnsi="黑体" w:eastAsia="黑体" w:cs="黑体"/>
          <w:b w:val="0"/>
          <w:bCs w:val="0"/>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财政部门依法对下列事项实施监督：</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（一）财政、税收法律、法规的执行情况；</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（二）</w:t>
      </w:r>
      <w:r>
        <w:rPr>
          <w:rFonts w:hint="eastAsia" w:ascii="仿宋_GB2312" w:hAnsi="仿宋_GB2312" w:eastAsia="仿宋_GB2312" w:cs="仿宋_GB2312"/>
          <w:color w:val="000000"/>
          <w:spacing w:val="0"/>
          <w:kern w:val="0"/>
          <w:sz w:val="32"/>
          <w:szCs w:val="32"/>
          <w:lang w:eastAsia="zh-CN"/>
        </w:rPr>
        <w:t>本级各</w:t>
      </w:r>
      <w:r>
        <w:rPr>
          <w:rFonts w:hint="eastAsia" w:ascii="仿宋_GB2312" w:hAnsi="仿宋_GB2312" w:eastAsia="仿宋_GB2312" w:cs="仿宋_GB2312"/>
          <w:color w:val="000000"/>
          <w:spacing w:val="0"/>
          <w:kern w:val="0"/>
          <w:sz w:val="32"/>
          <w:szCs w:val="32"/>
        </w:rPr>
        <w:t>部门</w:t>
      </w:r>
      <w:r>
        <w:rPr>
          <w:rFonts w:hint="eastAsia" w:ascii="仿宋_GB2312" w:hAnsi="仿宋_GB2312" w:eastAsia="仿宋_GB2312" w:cs="仿宋_GB2312"/>
          <w:color w:val="000000"/>
          <w:spacing w:val="0"/>
          <w:kern w:val="0"/>
          <w:sz w:val="32"/>
          <w:szCs w:val="32"/>
          <w:lang w:eastAsia="zh-CN"/>
        </w:rPr>
        <w:t>及其所属各单位</w:t>
      </w:r>
      <w:r>
        <w:rPr>
          <w:rFonts w:hint="eastAsia" w:ascii="仿宋_GB2312" w:hAnsi="仿宋_GB2312" w:eastAsia="仿宋_GB2312" w:cs="仿宋_GB2312"/>
          <w:color w:val="000000"/>
          <w:spacing w:val="0"/>
          <w:kern w:val="0"/>
          <w:sz w:val="32"/>
          <w:szCs w:val="32"/>
        </w:rPr>
        <w:t>预算</w:t>
      </w:r>
      <w:r>
        <w:rPr>
          <w:rFonts w:hint="eastAsia" w:ascii="仿宋_GB2312" w:hAnsi="仿宋_GB2312" w:eastAsia="仿宋_GB2312" w:cs="仿宋_GB2312"/>
          <w:color w:val="000000"/>
          <w:spacing w:val="0"/>
          <w:kern w:val="0"/>
          <w:sz w:val="32"/>
          <w:szCs w:val="32"/>
          <w:lang w:eastAsia="zh-CN"/>
        </w:rPr>
        <w:t>管理有关工作</w:t>
      </w:r>
      <w:r>
        <w:rPr>
          <w:rFonts w:hint="eastAsia" w:ascii="仿宋_GB2312" w:hAnsi="仿宋_GB2312" w:eastAsia="仿宋_GB2312" w:cs="仿宋_GB2312"/>
          <w:color w:val="000000"/>
          <w:spacing w:val="0"/>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（三）税收收入和非税收入的征收、管理情况；</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（四）国库集中收付和预算单位银行账户的使用、管理情况；</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（五）政府采购活动；</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（六）行政、事业单位国有资产的管理情况；</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（七）政府性债务资金的管理、使用情况；</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（八）财务会计制度的执行情况；</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（九）法律、法规规定的其他财政监督事项。</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val="0"/>
          <w:color w:val="000000"/>
          <w:spacing w:val="0"/>
          <w:kern w:val="0"/>
          <w:sz w:val="32"/>
          <w:szCs w:val="32"/>
        </w:rPr>
        <w:t>第八条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自治区人民政府财政部门依法对会计师事务所和资产评估机构的设立、执业情况实施监督。</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val="0"/>
          <w:color w:val="000000"/>
          <w:spacing w:val="0"/>
          <w:kern w:val="0"/>
          <w:sz w:val="32"/>
          <w:szCs w:val="32"/>
        </w:rPr>
        <w:t>第九条</w:t>
      </w:r>
      <w:r>
        <w:rPr>
          <w:rFonts w:hint="eastAsia" w:ascii="仿宋_GB2312" w:hAnsi="仿宋_GB2312" w:eastAsia="仿宋_GB2312" w:cs="仿宋_GB2312"/>
          <w:b/>
          <w:bCs/>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财政部门按照财政管理体制和财务隶属关系对财政、财务事项实施监督，按照行政区域对会计事项实施监督。</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上级财政部门可以对下级财政部门监督的事项直接实施监督，也可以将本级财政部门监督的事项委托下级财政部门实施监督。</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val="0"/>
          <w:color w:val="000000"/>
          <w:spacing w:val="0"/>
          <w:kern w:val="0"/>
          <w:sz w:val="32"/>
          <w:szCs w:val="32"/>
        </w:rPr>
        <w:t>第十条</w:t>
      </w:r>
      <w:r>
        <w:rPr>
          <w:rFonts w:hint="eastAsia" w:ascii="仿宋_GB2312" w:hAnsi="仿宋_GB2312" w:eastAsia="仿宋_GB2312" w:cs="仿宋_GB2312"/>
          <w:b/>
          <w:bCs/>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财政部门实施监督，可以行使下列职权：</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（一）要求被监督对象以及与被监督对象有经济业务往来的单位和个人，提供与监督事项有关的资料；</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（二）调取、查阅、复制与监督事项有关的资料;</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（三）经财政部门负责人批准，对可能灭失或者以后难以取得的证据，可以先行登记保存，并在七日内作出处理决定；</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（四）经财政部门负责人批准，凭查询存款通知书，向金融机构查询被监督对象的单位存款；</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（五）对财政违法行为，责令停止；拒不执行的，暂停拨付与财政违法行为直接有关的款项；已经拨付的，责令暂停使用；</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（六）法律、法规规定的其他财政监督职权。</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val="0"/>
          <w:color w:val="000000"/>
          <w:spacing w:val="0"/>
          <w:kern w:val="0"/>
          <w:sz w:val="32"/>
          <w:szCs w:val="32"/>
        </w:rPr>
        <w:t>第十一条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财政部门及其监督人员应当遵守国家有关保密规定，不得泄漏国家秘密和被监督对象的商业秘密，不得将监督中取得的资料用于与监督工作无关的事项，不得利用职务之便谋取不正当利益。</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left="0" w:leftChars="0" w:right="0" w:rightChars="0" w:firstLine="482" w:firstLineChars="0"/>
        <w:jc w:val="center"/>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left="0" w:leftChars="0" w:right="0" w:rightChars="0" w:firstLine="482" w:firstLineChars="0"/>
        <w:jc w:val="center"/>
        <w:textAlignment w:val="auto"/>
        <w:outlineLvl w:val="9"/>
        <w:rPr>
          <w:rFonts w:hint="eastAsia" w:ascii="黑体" w:hAnsi="黑体" w:eastAsia="黑体" w:cs="黑体"/>
          <w:b w:val="0"/>
          <w:bCs w:val="0"/>
          <w:color w:val="000000"/>
          <w:spacing w:val="0"/>
          <w:kern w:val="0"/>
          <w:sz w:val="32"/>
          <w:szCs w:val="32"/>
        </w:rPr>
      </w:pPr>
      <w:r>
        <w:rPr>
          <w:rFonts w:hint="eastAsia" w:ascii="黑体" w:hAnsi="黑体" w:eastAsia="黑体" w:cs="黑体"/>
          <w:b w:val="0"/>
          <w:bCs w:val="0"/>
          <w:color w:val="000000"/>
          <w:spacing w:val="0"/>
          <w:kern w:val="0"/>
          <w:sz w:val="32"/>
          <w:szCs w:val="32"/>
        </w:rPr>
        <w:t>第三章</w:t>
      </w:r>
      <w:r>
        <w:rPr>
          <w:rFonts w:hint="eastAsia" w:ascii="黑体" w:hAnsi="黑体" w:eastAsia="黑体" w:cs="黑体"/>
          <w:b w:val="0"/>
          <w:bCs w:val="0"/>
          <w:color w:val="000000"/>
          <w:spacing w:val="0"/>
          <w:kern w:val="0"/>
          <w:sz w:val="32"/>
          <w:szCs w:val="32"/>
          <w:lang w:val="en-US" w:eastAsia="zh-CN"/>
        </w:rPr>
        <w:t xml:space="preserve">  </w:t>
      </w:r>
      <w:r>
        <w:rPr>
          <w:rFonts w:hint="eastAsia" w:ascii="黑体" w:hAnsi="黑体" w:eastAsia="黑体" w:cs="黑体"/>
          <w:b w:val="0"/>
          <w:bCs w:val="0"/>
          <w:color w:val="000000"/>
          <w:spacing w:val="0"/>
          <w:kern w:val="0"/>
          <w:sz w:val="32"/>
          <w:szCs w:val="32"/>
        </w:rPr>
        <w:t>监督方式和程序</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left="0" w:leftChars="0" w:right="0" w:rightChars="0" w:firstLine="482" w:firstLineChars="0"/>
        <w:jc w:val="center"/>
        <w:textAlignment w:val="auto"/>
        <w:outlineLvl w:val="9"/>
        <w:rPr>
          <w:rFonts w:hint="eastAsia" w:ascii="黑体" w:hAnsi="黑体" w:eastAsia="黑体" w:cs="黑体"/>
          <w:b w:val="0"/>
          <w:bCs w:val="0"/>
          <w:color w:val="000000"/>
          <w:spacing w:val="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val="0"/>
          <w:color w:val="000000"/>
          <w:spacing w:val="0"/>
          <w:kern w:val="0"/>
          <w:sz w:val="32"/>
          <w:szCs w:val="32"/>
        </w:rPr>
        <w:t>第十二条</w:t>
      </w:r>
      <w:r>
        <w:rPr>
          <w:rFonts w:hint="eastAsia" w:ascii="仿宋_GB2312" w:hAnsi="仿宋_GB2312" w:eastAsia="仿宋_GB2312" w:cs="仿宋_GB2312"/>
          <w:b/>
          <w:bCs/>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财政部门应当对被监督对象涉及财政、财务和会计的事项，通过核查、监控等方法，实施日常监督；对涉及经济社会发展、与人民群众生活密切相关的重大事项，实施专项监督。</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val="0"/>
          <w:color w:val="000000"/>
          <w:spacing w:val="0"/>
          <w:kern w:val="0"/>
          <w:sz w:val="32"/>
          <w:szCs w:val="32"/>
        </w:rPr>
        <w:t>第十三条</w:t>
      </w:r>
      <w:r>
        <w:rPr>
          <w:rFonts w:hint="eastAsia" w:ascii="仿宋_GB2312" w:hAnsi="仿宋_GB2312" w:eastAsia="仿宋_GB2312" w:cs="仿宋_GB2312"/>
          <w:b/>
          <w:bCs/>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财政部门根据监督工作的需要，可以聘请具备相应资格的机构或者专业人员，协助开展财政监督工作。</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财政部门进行监督时，应当出示行政执法证件，财政监督人员不得少于二人。</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val="0"/>
          <w:color w:val="000000"/>
          <w:spacing w:val="0"/>
          <w:kern w:val="0"/>
          <w:sz w:val="32"/>
          <w:szCs w:val="32"/>
        </w:rPr>
        <w:t>第十四条</w:t>
      </w:r>
      <w:r>
        <w:rPr>
          <w:rFonts w:hint="eastAsia" w:ascii="仿宋_GB2312" w:hAnsi="仿宋_GB2312" w:eastAsia="仿宋_GB2312" w:cs="仿宋_GB2312"/>
          <w:b/>
          <w:bCs/>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财政监督人员与被监督</w:t>
      </w:r>
      <w:r>
        <w:rPr>
          <w:rFonts w:hint="eastAsia" w:ascii="仿宋_GB2312" w:hAnsi="仿宋_GB2312" w:eastAsia="仿宋_GB2312" w:cs="仿宋_GB2312"/>
          <w:color w:val="000000"/>
          <w:spacing w:val="0"/>
          <w:kern w:val="0"/>
          <w:sz w:val="32"/>
          <w:szCs w:val="32"/>
          <w:lang w:eastAsia="zh-CN"/>
        </w:rPr>
        <w:t>对象</w:t>
      </w:r>
      <w:r>
        <w:rPr>
          <w:rFonts w:hint="eastAsia" w:ascii="仿宋_GB2312" w:hAnsi="仿宋_GB2312" w:eastAsia="仿宋_GB2312" w:cs="仿宋_GB2312"/>
          <w:color w:val="000000"/>
          <w:spacing w:val="0"/>
          <w:kern w:val="0"/>
          <w:sz w:val="32"/>
          <w:szCs w:val="32"/>
        </w:rPr>
        <w:t>、监督事项有利害关系的，应当回避。</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被监督对象认为财政监督人员与监督事项有利害关系的，有权申请回避。</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val="0"/>
          <w:color w:val="000000"/>
          <w:spacing w:val="0"/>
          <w:kern w:val="0"/>
          <w:sz w:val="32"/>
          <w:szCs w:val="32"/>
        </w:rPr>
        <w:t>第十五条</w:t>
      </w:r>
      <w:r>
        <w:rPr>
          <w:rFonts w:hint="eastAsia" w:ascii="仿宋_GB2312" w:hAnsi="仿宋_GB2312" w:eastAsia="仿宋_GB2312" w:cs="仿宋_GB2312"/>
          <w:b/>
          <w:bCs/>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被监督对象在接受财政监督时，应当真实、完整、及时的提供与财政监督有关的资料和情况，如实回答财政监督工作人员的询问，并在有关证明资料和笔录上签字、盖章，不得拒绝、阻挠。</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val="0"/>
          <w:color w:val="000000"/>
          <w:spacing w:val="0"/>
          <w:kern w:val="0"/>
          <w:sz w:val="32"/>
          <w:szCs w:val="32"/>
        </w:rPr>
        <w:t>第十六条</w:t>
      </w:r>
      <w:r>
        <w:rPr>
          <w:rFonts w:hint="eastAsia" w:ascii="仿宋_GB2312" w:hAnsi="仿宋_GB2312" w:eastAsia="仿宋_GB2312" w:cs="仿宋_GB2312"/>
          <w:b/>
          <w:bCs/>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财政部门在监督结束前，应当书面征求被监督对象的意见。</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被监督对象对财政监督的基本情况、认定的事实、发现的问题和相关证据、材料有异议的，应当自收到征求意见函之日起十日内，将书面意见送交财政部门。被监督对象未在规定期限内提出异议的，视为无异议。</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财政部门应当自收到被监督对象的书面意见之日起十日内，对其进行复核，并将复核结果书面告知被监督对象。</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val="0"/>
          <w:color w:val="000000"/>
          <w:spacing w:val="0"/>
          <w:kern w:val="0"/>
          <w:sz w:val="32"/>
          <w:szCs w:val="32"/>
        </w:rPr>
        <w:t>第十七条</w:t>
      </w:r>
      <w:r>
        <w:rPr>
          <w:rFonts w:hint="eastAsia" w:ascii="仿宋_GB2312" w:hAnsi="仿宋_GB2312" w:eastAsia="仿宋_GB2312" w:cs="仿宋_GB2312"/>
          <w:b/>
          <w:bCs/>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财政监督结束后，财政部门对有财政、财务、会计违法行为的，应当依法作出处理、处罚决定；对不属于财政部门职权范围的事项，应当按照法定程序移送有关机关处理。</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财政部门依法作出处理、处罚决定的，应当按照法定期限送达被监督对象，并监督处理、处罚决定的执行情况。</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val="0"/>
          <w:color w:val="000000"/>
          <w:spacing w:val="0"/>
          <w:kern w:val="0"/>
          <w:sz w:val="32"/>
          <w:szCs w:val="32"/>
        </w:rPr>
        <w:t>第十八条</w:t>
      </w:r>
      <w:r>
        <w:rPr>
          <w:rFonts w:hint="eastAsia" w:ascii="仿宋_GB2312" w:hAnsi="仿宋_GB2312" w:eastAsia="仿宋_GB2312" w:cs="仿宋_GB2312"/>
          <w:b/>
          <w:bCs/>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被监督对象对财政部门作出的处理、处罚决定的事实、理由以及依据，有权进行陈述和申辩；对符合听证条件的，有权要求听证。</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val="0"/>
          <w:color w:val="000000"/>
          <w:spacing w:val="0"/>
          <w:kern w:val="0"/>
          <w:sz w:val="32"/>
          <w:szCs w:val="32"/>
        </w:rPr>
        <w:t>第十九条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财政部门应当向本级人民政府和上一级财政部门报告监督情况，向有关部门通报或者向社会公布监督结论。</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left="0" w:leftChars="0" w:right="0" w:rightChars="0" w:firstLine="482" w:firstLineChars="0"/>
        <w:jc w:val="center"/>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left="0" w:leftChars="0" w:right="0" w:rightChars="0" w:firstLine="482" w:firstLineChars="0"/>
        <w:jc w:val="center"/>
        <w:textAlignment w:val="auto"/>
        <w:outlineLvl w:val="9"/>
        <w:rPr>
          <w:rFonts w:hint="eastAsia" w:ascii="黑体" w:hAnsi="黑体" w:eastAsia="黑体" w:cs="黑体"/>
          <w:b w:val="0"/>
          <w:bCs w:val="0"/>
          <w:color w:val="000000"/>
          <w:spacing w:val="0"/>
          <w:kern w:val="0"/>
          <w:sz w:val="32"/>
          <w:szCs w:val="32"/>
        </w:rPr>
      </w:pPr>
      <w:r>
        <w:rPr>
          <w:rFonts w:hint="eastAsia" w:ascii="黑体" w:hAnsi="黑体" w:eastAsia="黑体" w:cs="黑体"/>
          <w:b w:val="0"/>
          <w:bCs w:val="0"/>
          <w:color w:val="000000"/>
          <w:spacing w:val="0"/>
          <w:kern w:val="0"/>
          <w:sz w:val="32"/>
          <w:szCs w:val="32"/>
        </w:rPr>
        <w:t>第四章</w:t>
      </w:r>
      <w:r>
        <w:rPr>
          <w:rFonts w:hint="eastAsia" w:ascii="黑体" w:hAnsi="黑体" w:eastAsia="黑体" w:cs="黑体"/>
          <w:b w:val="0"/>
          <w:bCs w:val="0"/>
          <w:color w:val="000000"/>
          <w:spacing w:val="0"/>
          <w:kern w:val="0"/>
          <w:sz w:val="32"/>
          <w:szCs w:val="32"/>
          <w:lang w:val="en-US" w:eastAsia="zh-CN"/>
        </w:rPr>
        <w:t xml:space="preserve">  </w:t>
      </w:r>
      <w:r>
        <w:rPr>
          <w:rFonts w:hint="eastAsia" w:ascii="黑体" w:hAnsi="黑体" w:eastAsia="黑体" w:cs="黑体"/>
          <w:b w:val="0"/>
          <w:bCs w:val="0"/>
          <w:color w:val="000000"/>
          <w:spacing w:val="0"/>
          <w:kern w:val="0"/>
          <w:sz w:val="32"/>
          <w:szCs w:val="32"/>
        </w:rPr>
        <w:t>法律责任</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left="0" w:leftChars="0" w:right="0" w:rightChars="0" w:firstLine="482" w:firstLineChars="0"/>
        <w:jc w:val="center"/>
        <w:textAlignment w:val="auto"/>
        <w:outlineLvl w:val="9"/>
        <w:rPr>
          <w:rFonts w:hint="eastAsia" w:ascii="黑体" w:hAnsi="黑体" w:eastAsia="黑体" w:cs="黑体"/>
          <w:b w:val="0"/>
          <w:bCs w:val="0"/>
          <w:color w:val="000000"/>
          <w:spacing w:val="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val="0"/>
          <w:color w:val="000000"/>
          <w:spacing w:val="0"/>
          <w:kern w:val="0"/>
          <w:sz w:val="32"/>
          <w:szCs w:val="32"/>
        </w:rPr>
        <w:t>第二十条</w:t>
      </w:r>
      <w:r>
        <w:rPr>
          <w:rFonts w:hint="eastAsia" w:ascii="仿宋_GB2312" w:hAnsi="仿宋_GB2312" w:eastAsia="仿宋_GB2312" w:cs="仿宋_GB2312"/>
          <w:b/>
          <w:bCs/>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被监督对象有下列情形之一的，由财政部门责令改正，给予警告；直接负责的主管人员和其他直接责任人员属于国家工作人员的，由财政部门提出给予处分的建议；构成犯罪的，依法追究刑事责任：</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（一）拒绝、阻挠财政部门依法实施监督的；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（二）拒绝提供或者不如实提供有关资料的；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（三）威胁、打击、报复财政监督工作人员、举报人和证人的；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（四）其他妨害财政监督的行为。</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val="0"/>
          <w:color w:val="000000"/>
          <w:spacing w:val="0"/>
          <w:kern w:val="0"/>
          <w:sz w:val="32"/>
          <w:szCs w:val="32"/>
        </w:rPr>
        <w:t>第二十一条</w:t>
      </w:r>
      <w:r>
        <w:rPr>
          <w:rFonts w:hint="eastAsia" w:ascii="黑体" w:hAnsi="黑体" w:eastAsia="黑体" w:cs="黑体"/>
          <w:b w:val="0"/>
          <w:bCs w:val="0"/>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被监督对象对行政处罚决定不服的，可以依法申请行政复议或者提起行政诉讼。</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val="0"/>
          <w:color w:val="000000"/>
          <w:spacing w:val="0"/>
          <w:kern w:val="0"/>
          <w:sz w:val="32"/>
          <w:szCs w:val="32"/>
        </w:rPr>
        <w:t>第二十二条</w:t>
      </w:r>
      <w:r>
        <w:rPr>
          <w:rFonts w:hint="eastAsia" w:ascii="黑体" w:hAnsi="黑体" w:eastAsia="黑体" w:cs="黑体"/>
          <w:b w:val="0"/>
          <w:bCs w:val="0"/>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财政部门工作人员在财政监督工作中有下列行为之一的，由所在单位或者</w:t>
      </w:r>
      <w:r>
        <w:rPr>
          <w:rFonts w:hint="eastAsia" w:ascii="仿宋_GB2312" w:hAnsi="仿宋_GB2312" w:eastAsia="仿宋_GB2312" w:cs="仿宋_GB2312"/>
          <w:color w:val="000000"/>
          <w:spacing w:val="0"/>
          <w:kern w:val="0"/>
          <w:sz w:val="32"/>
          <w:szCs w:val="32"/>
          <w:lang w:eastAsia="zh-CN"/>
        </w:rPr>
        <w:t>其他有权机关依法追究相应责任：</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（一）玩忽职守、滥用职权、徇私舞弊的；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（二）泄露在财政监督工作中知悉的国家秘密和商业秘密的；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（三）其他违法行为。</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left="0" w:leftChars="0" w:right="0" w:rightChars="0" w:firstLine="482" w:firstLineChars="0"/>
        <w:jc w:val="left"/>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left="0" w:leftChars="0" w:right="0" w:rightChars="0" w:firstLine="482" w:firstLineChars="0"/>
        <w:jc w:val="center"/>
        <w:textAlignment w:val="auto"/>
        <w:outlineLvl w:val="9"/>
        <w:rPr>
          <w:rFonts w:hint="eastAsia" w:ascii="黑体" w:hAnsi="黑体" w:eastAsia="黑体" w:cs="黑体"/>
          <w:b w:val="0"/>
          <w:bCs w:val="0"/>
          <w:color w:val="000000"/>
          <w:spacing w:val="0"/>
          <w:kern w:val="0"/>
          <w:sz w:val="32"/>
          <w:szCs w:val="32"/>
        </w:rPr>
      </w:pPr>
      <w:r>
        <w:rPr>
          <w:rFonts w:hint="eastAsia" w:ascii="黑体" w:hAnsi="黑体" w:eastAsia="黑体" w:cs="黑体"/>
          <w:b w:val="0"/>
          <w:bCs w:val="0"/>
          <w:color w:val="000000"/>
          <w:spacing w:val="0"/>
          <w:kern w:val="0"/>
          <w:sz w:val="32"/>
          <w:szCs w:val="32"/>
        </w:rPr>
        <w:t>第五章</w:t>
      </w:r>
      <w:r>
        <w:rPr>
          <w:rFonts w:hint="eastAsia" w:ascii="黑体" w:hAnsi="黑体" w:eastAsia="黑体" w:cs="黑体"/>
          <w:b w:val="0"/>
          <w:bCs w:val="0"/>
          <w:color w:val="000000"/>
          <w:spacing w:val="0"/>
          <w:kern w:val="0"/>
          <w:sz w:val="32"/>
          <w:szCs w:val="32"/>
          <w:lang w:val="en-US" w:eastAsia="zh-CN"/>
        </w:rPr>
        <w:t xml:space="preserve">  </w:t>
      </w:r>
      <w:r>
        <w:rPr>
          <w:rFonts w:hint="eastAsia" w:ascii="黑体" w:hAnsi="黑体" w:eastAsia="黑体" w:cs="黑体"/>
          <w:b w:val="0"/>
          <w:bCs w:val="0"/>
          <w:color w:val="000000"/>
          <w:spacing w:val="0"/>
          <w:kern w:val="0"/>
          <w:sz w:val="32"/>
          <w:szCs w:val="32"/>
        </w:rPr>
        <w:t>附则</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left="0" w:leftChars="0" w:right="0" w:rightChars="0" w:firstLine="482" w:firstLineChars="0"/>
        <w:jc w:val="center"/>
        <w:textAlignment w:val="auto"/>
        <w:outlineLvl w:val="9"/>
        <w:rPr>
          <w:rFonts w:hint="eastAsia" w:ascii="黑体" w:hAnsi="黑体" w:eastAsia="黑体" w:cs="黑体"/>
          <w:b w:val="0"/>
          <w:bCs w:val="0"/>
          <w:color w:val="000000"/>
          <w:spacing w:val="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val="0"/>
          <w:color w:val="000000"/>
          <w:spacing w:val="0"/>
          <w:kern w:val="0"/>
          <w:sz w:val="32"/>
          <w:szCs w:val="32"/>
        </w:rPr>
        <w:t>第二十三条</w:t>
      </w:r>
      <w:r>
        <w:rPr>
          <w:rFonts w:hint="eastAsia" w:ascii="仿宋_GB2312" w:hAnsi="仿宋_GB2312" w:eastAsia="仿宋_GB2312" w:cs="仿宋_GB2312"/>
          <w:b/>
          <w:bCs/>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本条例自2012 年10月1日起施行。2002年1月4日宁夏回族自治区人民政府</w:t>
      </w:r>
      <w:r>
        <w:rPr>
          <w:rFonts w:hint="eastAsia" w:ascii="仿宋_GB2312" w:hAnsi="仿宋_GB2312" w:eastAsia="仿宋_GB2312" w:cs="仿宋_GB2312"/>
          <w:b w:val="0"/>
          <w:bCs w:val="0"/>
          <w:color w:val="000000"/>
          <w:spacing w:val="0"/>
          <w:kern w:val="0"/>
          <w:sz w:val="32"/>
          <w:szCs w:val="32"/>
        </w:rPr>
        <w:t>公布</w:t>
      </w:r>
      <w:r>
        <w:rPr>
          <w:rFonts w:hint="eastAsia" w:ascii="仿宋_GB2312" w:hAnsi="仿宋_GB2312" w:eastAsia="仿宋_GB2312" w:cs="仿宋_GB2312"/>
          <w:color w:val="000000"/>
          <w:spacing w:val="0"/>
          <w:kern w:val="0"/>
          <w:sz w:val="32"/>
          <w:szCs w:val="32"/>
        </w:rPr>
        <w:t>的《宁夏回族自治区财政监督办法》同时废止。</w:t>
      </w:r>
    </w:p>
    <w:p>
      <w:pPr>
        <w:keepNext w:val="0"/>
        <w:keepLines w:val="0"/>
        <w:pageBreakBefore w:val="0"/>
        <w:widowControl/>
        <w:kinsoku/>
        <w:wordWrap/>
        <w:overflowPunct/>
        <w:topLinePunct w:val="0"/>
        <w:autoSpaceDE/>
        <w:autoSpaceDN/>
        <w:bidi w:val="0"/>
        <w:adjustRightInd/>
        <w:snapToGrid/>
        <w:spacing w:line="620" w:lineRule="exact"/>
        <w:ind w:right="0" w:rightChars="0"/>
        <w:jc w:val="left"/>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kinsoku/>
        <w:wordWrap/>
        <w:overflowPunct/>
        <w:topLinePunct w:val="0"/>
        <w:autoSpaceDE/>
        <w:autoSpaceDN/>
        <w:bidi w:val="0"/>
        <w:adjustRightInd/>
        <w:snapToGrid/>
        <w:spacing w:line="620" w:lineRule="exact"/>
        <w:ind w:right="0" w:rightChars="0"/>
        <w:jc w:val="left"/>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kinsoku/>
        <w:wordWrap/>
        <w:overflowPunct/>
        <w:topLinePunct w:val="0"/>
        <w:autoSpaceDE/>
        <w:autoSpaceDN/>
        <w:bidi w:val="0"/>
        <w:adjustRightInd/>
        <w:snapToGrid/>
        <w:spacing w:line="620" w:lineRule="exact"/>
        <w:ind w:right="0" w:rightChars="0"/>
        <w:jc w:val="left"/>
        <w:textAlignment w:val="auto"/>
        <w:outlineLvl w:val="9"/>
        <w:rPr>
          <w:rFonts w:hint="eastAsia" w:ascii="仿宋_GB2312" w:hAnsi="仿宋_GB2312" w:eastAsia="仿宋_GB2312" w:cs="仿宋_GB2312"/>
          <w:color w:val="000000"/>
          <w:spacing w:val="0"/>
          <w:kern w:val="0"/>
          <w:sz w:val="32"/>
          <w:szCs w:val="32"/>
        </w:rPr>
      </w:pPr>
    </w:p>
    <w:sectPr>
      <w:headerReference r:id="rId3" w:type="default"/>
      <w:footerReference r:id="rId4" w:type="default"/>
      <w:pgSz w:w="11906" w:h="16838"/>
      <w:pgMar w:top="1984" w:right="1587" w:bottom="1474" w:left="1587" w:header="851" w:footer="124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roman"/>
    <w:pitch w:val="default"/>
    <w:sig w:usb0="E1002EFF" w:usb1="C000605B" w:usb2="00000029" w:usb3="00000000" w:csb0="200101FF" w:csb1="20280000"/>
  </w:font>
  <w:font w:name="楷体">
    <w:panose1 w:val="02010609060101010101"/>
    <w:charset w:val="86"/>
    <w:family w:val="roman"/>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51" o:spid="_x0000_s2051"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dit="forms"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C3C1BC9"/>
    <w:rsid w:val="007F0A1D"/>
    <w:rsid w:val="02795488"/>
    <w:rsid w:val="09332E25"/>
    <w:rsid w:val="0B320F49"/>
    <w:rsid w:val="105F043E"/>
    <w:rsid w:val="19116E8B"/>
    <w:rsid w:val="211A7691"/>
    <w:rsid w:val="244E2DD7"/>
    <w:rsid w:val="2A015655"/>
    <w:rsid w:val="2BDF40BD"/>
    <w:rsid w:val="2C18459F"/>
    <w:rsid w:val="2F1521AA"/>
    <w:rsid w:val="3B694B7A"/>
    <w:rsid w:val="3E7A4A84"/>
    <w:rsid w:val="409B20E6"/>
    <w:rsid w:val="51BB3DF3"/>
    <w:rsid w:val="5251011C"/>
    <w:rsid w:val="59A67D01"/>
    <w:rsid w:val="65FB4978"/>
    <w:rsid w:val="67AC3179"/>
    <w:rsid w:val="69B4392F"/>
    <w:rsid w:val="6A1330D0"/>
    <w:rsid w:val="6C20636E"/>
    <w:rsid w:val="72924BBA"/>
    <w:rsid w:val="751F2210"/>
    <w:rsid w:val="7C3C1BC9"/>
    <w:rsid w:val="7FBB46F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6">
    <w:name w:val="Default Paragraph Font"/>
    <w:link w:val="7"/>
    <w:unhideWhenUsed/>
    <w:uiPriority w:val="0"/>
    <w:rPr>
      <w:rFonts w:ascii="Tahoma" w:hAnsi="Tahoma"/>
      <w:sz w:val="24"/>
    </w:rPr>
  </w:style>
  <w:style w:type="table" w:default="1" w:styleId="9">
    <w:name w:val="Normal Table"/>
    <w:unhideWhenUsed/>
    <w:uiPriority w:val="99"/>
    <w:tblPr>
      <w:tblStyle w:val="9"/>
      <w:tblLayout w:type="fixed"/>
      <w:tblCellMar>
        <w:top w:w="0" w:type="dxa"/>
        <w:left w:w="108" w:type="dxa"/>
        <w:bottom w:w="0" w:type="dxa"/>
        <w:right w:w="108" w:type="dxa"/>
      </w:tblCellMar>
    </w:tblPr>
    <w:tcPr>
      <w:textDirection w:val="lrTb"/>
    </w:tcPr>
  </w:style>
  <w:style w:type="paragraph" w:styleId="2">
    <w:name w:val="Body Text"/>
    <w:basedOn w:val="1"/>
    <w:unhideWhenUsed/>
    <w:uiPriority w:val="99"/>
    <w:rPr>
      <w:rFonts w:ascii="Garamond" w:hAnsi="Garamond" w:cs="Garamond"/>
      <w:sz w:val="32"/>
    </w:rPr>
  </w:style>
  <w:style w:type="paragraph" w:styleId="3">
    <w:name w:val="footer"/>
    <w:basedOn w:val="1"/>
    <w:unhideWhenUsed/>
    <w:uiPriority w:val="0"/>
    <w:pPr>
      <w:tabs>
        <w:tab w:val="center" w:pos="4153"/>
        <w:tab w:val="right" w:pos="8306"/>
      </w:tabs>
      <w:snapToGrid w:val="0"/>
      <w:jc w:val="left"/>
    </w:pPr>
    <w:rPr>
      <w:sz w:val="18"/>
      <w:szCs w:val="18"/>
    </w:rPr>
  </w:style>
  <w:style w:type="paragraph" w:styleId="4">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customStyle="1" w:styleId="7">
    <w:name w:val=" Char"/>
    <w:basedOn w:val="1"/>
    <w:link w:val="6"/>
    <w:qFormat/>
    <w:uiPriority w:val="0"/>
    <w:rPr>
      <w:rFonts w:ascii="Tahoma" w:hAnsi="Tahoma"/>
      <w:sz w:val="24"/>
    </w:rPr>
  </w:style>
  <w:style w:type="character" w:styleId="8">
    <w:name w:val="Strong"/>
    <w:basedOn w:val="6"/>
    <w:qFormat/>
    <w:uiPriority w:val="22"/>
    <w:rPr>
      <w:b/>
      <w:bCs/>
    </w:rPr>
  </w:style>
  <w:style w:type="paragraph" w:customStyle="1" w:styleId="10">
    <w:name w:val="HTML 预设格式 Char"/>
    <w:basedOn w:val="1"/>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1">
    <w:name w:val="p0"/>
    <w:basedOn w:val="1"/>
    <w:uiPriority w:val="0"/>
    <w:pPr>
      <w:widowControl/>
      <w:spacing w:before="100" w:beforeAutospacing="1" w:after="100" w:afterAutospacing="1"/>
      <w:jc w:val="left"/>
    </w:pPr>
    <w:rPr>
      <w:rFonts w:ascii="宋体" w:hAnsi="宋体" w:cs="宋体"/>
      <w:kern w:val="0"/>
      <w:sz w:val="24"/>
    </w:rPr>
  </w:style>
  <w:style w:type="character" w:customStyle="1" w:styleId="12">
    <w:name w:val="apple-converted-space"/>
    <w:basedOn w:val="6"/>
    <w:qFormat/>
    <w:uiPriority w:val="0"/>
  </w:style>
  <w:style w:type="character" w:customStyle="1" w:styleId="13">
    <w:name w:val="listblackfont20h30heiti"/>
    <w:basedOn w:val="6"/>
    <w:uiPriority w:val="0"/>
  </w:style>
  <w:style w:type="character" w:customStyle="1" w:styleId="14">
    <w:name w:val="listblackfont14h30"/>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2019-03-17T02:23:00Z</dcterms:created>
  <dc:creator>Win</dc:creator>
  <cp:lastModifiedBy>Win</cp:lastModifiedBy>
  <cp:lastPrinted>2019-04-09T06:34:54Z</cp:lastPrinted>
  <dcterms:modified xsi:type="dcterms:W3CDTF">2019-04-22T09:35:49Z</dcterms:modified>
  <dc:title>中华人民共和国主席令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