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color w:val="000000"/>
          <w:spacing w:val="0"/>
          <w:kern w:val="0"/>
          <w:sz w:val="32"/>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color w:val="000000"/>
          <w:spacing w:val="0"/>
          <w:kern w:val="0"/>
          <w:sz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44"/>
        </w:rPr>
      </w:pPr>
      <w:r>
        <w:rPr>
          <w:rFonts w:hint="eastAsia" w:ascii="宋体" w:hAnsi="宋体" w:eastAsia="宋体" w:cs="宋体"/>
          <w:color w:val="000000"/>
          <w:spacing w:val="0"/>
          <w:kern w:val="0"/>
          <w:sz w:val="44"/>
        </w:rPr>
        <w:t>宁夏回族自治区防沙治沙条例</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640" w:leftChars="0" w:right="531" w:rightChars="253" w:hanging="640" w:hangingChars="200"/>
        <w:jc w:val="both"/>
        <w:textAlignment w:val="auto"/>
        <w:outlineLvl w:val="9"/>
        <w:rPr>
          <w:rFonts w:hint="eastAsia" w:ascii="楷体" w:hAnsi="楷体" w:eastAsia="楷体"/>
          <w:color w:val="000000"/>
          <w:spacing w:val="0"/>
          <w:kern w:val="0"/>
          <w:sz w:val="32"/>
          <w:szCs w:val="32"/>
          <w:lang w:eastAsia="zh-CN"/>
        </w:rPr>
      </w:pPr>
      <w:r>
        <w:rPr>
          <w:rFonts w:hint="eastAsia" w:ascii="楷体" w:hAnsi="楷体" w:eastAsia="楷体"/>
          <w:color w:val="000000"/>
          <w:spacing w:val="0"/>
          <w:kern w:val="0"/>
          <w:sz w:val="32"/>
          <w:szCs w:val="32"/>
          <w:lang w:val="en-US" w:eastAsia="zh-CN"/>
        </w:rPr>
        <w:t xml:space="preserve">    </w:t>
      </w:r>
      <w:r>
        <w:rPr>
          <w:rFonts w:hint="eastAsia" w:ascii="楷体" w:hAnsi="楷体" w:eastAsia="楷体"/>
          <w:color w:val="000000"/>
          <w:spacing w:val="0"/>
          <w:kern w:val="0"/>
          <w:sz w:val="32"/>
          <w:szCs w:val="32"/>
          <w:lang w:eastAsia="zh-CN"/>
        </w:rPr>
        <w:t>（</w:t>
      </w:r>
      <w:r>
        <w:rPr>
          <w:rFonts w:hint="eastAsia" w:ascii="楷体" w:hAnsi="楷体" w:eastAsia="楷体"/>
          <w:color w:val="000000"/>
          <w:spacing w:val="0"/>
          <w:kern w:val="0"/>
          <w:sz w:val="32"/>
          <w:szCs w:val="32"/>
        </w:rPr>
        <w:t xml:space="preserve">2010年10月15日宁夏回族自治区第十届人民代表大会常务委员会第二十次会议通过  </w:t>
      </w:r>
      <w:r>
        <w:rPr>
          <w:rFonts w:hint="eastAsia" w:ascii="楷体" w:hAnsi="楷体" w:eastAsia="楷体"/>
          <w:color w:val="000000"/>
          <w:spacing w:val="0"/>
          <w:sz w:val="32"/>
          <w:szCs w:val="32"/>
        </w:rPr>
        <w:t>根据2019年3月26日宁夏回族自治区第十二届人民代表大会常务委员会第十一次会议《关于修改〈宁夏回族自治区商品交易市场管理条例〉等18件地方性法规的决定》修正</w:t>
      </w:r>
      <w:r>
        <w:rPr>
          <w:rFonts w:hint="eastAsia" w:ascii="楷体" w:hAnsi="楷体" w:eastAsia="楷体"/>
          <w:color w:val="000000"/>
          <w:spacing w:val="0"/>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hanging="640" w:hangingChars="200"/>
        <w:jc w:val="both"/>
        <w:textAlignment w:val="auto"/>
        <w:outlineLvl w:val="9"/>
        <w:rPr>
          <w:rFonts w:hint="eastAsia" w:ascii="楷体" w:hAnsi="楷体" w:eastAsia="楷体"/>
          <w:color w:val="000000"/>
          <w:spacing w:val="0"/>
          <w:ker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楷体_GB2312" w:hAnsi="楷体_GB2312" w:eastAsia="楷体_GB2312"/>
          <w:color w:val="000000"/>
          <w:spacing w:val="0"/>
          <w:w w:val="102"/>
          <w:sz w:val="32"/>
        </w:rPr>
      </w:pPr>
      <w:r>
        <w:rPr>
          <w:rFonts w:hint="eastAsia" w:ascii="楷体_GB2312" w:hAnsi="楷体_GB2312" w:eastAsia="楷体_GB2312"/>
          <w:color w:val="000000"/>
          <w:spacing w:val="0"/>
          <w:w w:val="102"/>
          <w:sz w:val="32"/>
        </w:rPr>
        <w:t>目</w:t>
      </w:r>
      <w:r>
        <w:rPr>
          <w:rFonts w:hint="eastAsia" w:ascii="楷体_GB2312" w:hAnsi="楷体_GB2312" w:eastAsia="楷体_GB2312"/>
          <w:color w:val="000000"/>
          <w:spacing w:val="0"/>
          <w:w w:val="102"/>
          <w:sz w:val="32"/>
          <w:lang w:val="en-US" w:eastAsia="zh-CN"/>
        </w:rPr>
        <w:t xml:space="preserve">    </w:t>
      </w:r>
      <w:r>
        <w:rPr>
          <w:rFonts w:hint="eastAsia" w:ascii="楷体_GB2312" w:hAnsi="楷体_GB2312" w:eastAsia="楷体_GB2312"/>
          <w:color w:val="000000"/>
          <w:spacing w:val="0"/>
          <w:w w:val="102"/>
          <w:sz w:val="32"/>
        </w:rPr>
        <w:t>录</w:t>
      </w:r>
    </w:p>
    <w:p>
      <w:pPr>
        <w:numPr>
          <w:ilvl w:val="0"/>
          <w:numId w:val="0"/>
        </w:numPr>
        <w:tabs>
          <w:tab w:val="left" w:pos="0"/>
        </w:tabs>
        <w:spacing w:line="580" w:lineRule="exact"/>
        <w:ind w:firstLine="599" w:firstLineChars="199"/>
        <w:rPr>
          <w:rFonts w:hint="eastAsia" w:ascii="楷体_GB2312" w:hAnsi="楷体_GB2312" w:eastAsia="楷体_GB2312"/>
          <w:color w:val="000000"/>
          <w:spacing w:val="0"/>
          <w:w w:val="102"/>
          <w:sz w:val="32"/>
        </w:rPr>
      </w:pPr>
      <w:r>
        <w:rPr>
          <w:rFonts w:hint="eastAsia" w:ascii="楷体_GB2312" w:hAnsi="楷体_GB2312" w:eastAsia="楷体_GB2312"/>
          <w:color w:val="000000"/>
          <w:spacing w:val="0"/>
          <w:w w:val="102"/>
          <w:sz w:val="32"/>
        </w:rPr>
        <w:t xml:space="preserve">第一章  总则 </w:t>
      </w:r>
    </w:p>
    <w:p>
      <w:pPr>
        <w:numPr>
          <w:ilvl w:val="0"/>
          <w:numId w:val="0"/>
        </w:numPr>
        <w:spacing w:line="580" w:lineRule="exact"/>
        <w:rPr>
          <w:rFonts w:hint="eastAsia" w:ascii="楷体" w:hAnsi="楷体" w:eastAsia="楷体"/>
          <w:color w:val="000000"/>
          <w:spacing w:val="0"/>
          <w:kern w:val="0"/>
          <w:sz w:val="32"/>
        </w:rPr>
      </w:pPr>
      <w:r>
        <w:rPr>
          <w:rFonts w:hint="eastAsia" w:ascii="楷体" w:hAnsi="楷体" w:eastAsia="楷体"/>
          <w:color w:val="000000"/>
          <w:spacing w:val="0"/>
          <w:w w:val="102"/>
          <w:sz w:val="32"/>
          <w:lang w:val="en-US" w:eastAsia="zh-CN"/>
        </w:rPr>
        <w:t xml:space="preserve">    </w:t>
      </w:r>
      <w:r>
        <w:rPr>
          <w:rFonts w:hint="eastAsia" w:ascii="楷体" w:hAnsi="楷体" w:eastAsia="楷体"/>
          <w:color w:val="000000"/>
          <w:spacing w:val="0"/>
          <w:w w:val="102"/>
          <w:sz w:val="32"/>
        </w:rPr>
        <w:t>第二章　</w:t>
      </w:r>
      <w:r>
        <w:rPr>
          <w:rFonts w:hint="eastAsia" w:ascii="楷体" w:hAnsi="楷体" w:eastAsia="楷体"/>
          <w:color w:val="000000"/>
          <w:spacing w:val="0"/>
          <w:kern w:val="0"/>
          <w:sz w:val="32"/>
        </w:rPr>
        <w:t>防沙治沙规划与管理</w:t>
      </w:r>
    </w:p>
    <w:p>
      <w:pPr>
        <w:numPr>
          <w:ilvl w:val="0"/>
          <w:numId w:val="0"/>
        </w:numPr>
        <w:spacing w:line="580" w:lineRule="exact"/>
        <w:ind w:left="0" w:leftChars="0" w:firstLine="640" w:firstLineChars="0"/>
        <w:rPr>
          <w:rFonts w:hint="eastAsia" w:ascii="仿宋_GB2312" w:hAnsi="仿宋_GB2312" w:eastAsia="仿宋_GB2312"/>
          <w:b/>
          <w:color w:val="000000"/>
          <w:spacing w:val="0"/>
          <w:kern w:val="0"/>
          <w:sz w:val="32"/>
        </w:rPr>
      </w:pPr>
      <w:r>
        <w:rPr>
          <w:rFonts w:hint="eastAsia" w:ascii="楷体_GB2312" w:hAnsi="楷体_GB2312" w:eastAsia="楷体_GB2312"/>
          <w:color w:val="000000"/>
          <w:spacing w:val="0"/>
          <w:w w:val="102"/>
          <w:sz w:val="32"/>
        </w:rPr>
        <w:t>第三章　</w:t>
      </w:r>
      <w:r>
        <w:rPr>
          <w:rFonts w:hint="eastAsia" w:ascii="楷体" w:hAnsi="楷体" w:eastAsia="楷体"/>
          <w:color w:val="000000"/>
          <w:spacing w:val="0"/>
          <w:kern w:val="0"/>
          <w:sz w:val="32"/>
        </w:rPr>
        <w:t>土地沙化预防与监督</w:t>
      </w:r>
    </w:p>
    <w:p>
      <w:pPr>
        <w:numPr>
          <w:ilvl w:val="0"/>
          <w:numId w:val="0"/>
        </w:numPr>
        <w:spacing w:line="580" w:lineRule="exact"/>
        <w:ind w:left="0" w:leftChars="0" w:firstLine="640" w:firstLineChars="0"/>
        <w:rPr>
          <w:rFonts w:hint="eastAsia" w:ascii="楷体_GB2312" w:hAnsi="楷体_GB2312" w:eastAsia="楷体_GB2312"/>
          <w:color w:val="000000"/>
          <w:spacing w:val="0"/>
          <w:w w:val="102"/>
          <w:sz w:val="32"/>
        </w:rPr>
      </w:pPr>
      <w:r>
        <w:rPr>
          <w:rFonts w:hint="eastAsia" w:ascii="楷体_GB2312" w:hAnsi="楷体_GB2312" w:eastAsia="楷体_GB2312"/>
          <w:color w:val="000000"/>
          <w:spacing w:val="0"/>
          <w:w w:val="102"/>
          <w:sz w:val="32"/>
        </w:rPr>
        <w:t>第四章　</w:t>
      </w:r>
      <w:r>
        <w:rPr>
          <w:rFonts w:hint="eastAsia" w:ascii="楷体" w:hAnsi="楷体" w:eastAsia="楷体"/>
          <w:color w:val="000000"/>
          <w:spacing w:val="0"/>
          <w:kern w:val="0"/>
          <w:sz w:val="32"/>
        </w:rPr>
        <w:t>沙化土地治理与利用</w:t>
      </w:r>
    </w:p>
    <w:p>
      <w:pPr>
        <w:numPr>
          <w:ilvl w:val="0"/>
          <w:numId w:val="0"/>
        </w:numPr>
        <w:spacing w:line="580" w:lineRule="exact"/>
        <w:ind w:left="0" w:leftChars="0" w:firstLine="640" w:firstLineChars="0"/>
        <w:rPr>
          <w:rFonts w:hint="eastAsia" w:ascii="楷体_GB2312" w:hAnsi="楷体_GB2312" w:eastAsia="楷体_GB2312"/>
          <w:color w:val="000000"/>
          <w:spacing w:val="0"/>
          <w:w w:val="102"/>
          <w:sz w:val="32"/>
        </w:rPr>
      </w:pPr>
      <w:r>
        <w:rPr>
          <w:rFonts w:hint="eastAsia" w:ascii="楷体_GB2312" w:hAnsi="楷体_GB2312" w:eastAsia="楷体_GB2312"/>
          <w:color w:val="000000"/>
          <w:spacing w:val="0"/>
          <w:w w:val="102"/>
          <w:sz w:val="32"/>
        </w:rPr>
        <w:t>第五章　法律责任</w:t>
      </w:r>
    </w:p>
    <w:p>
      <w:pPr>
        <w:numPr>
          <w:ilvl w:val="0"/>
          <w:numId w:val="0"/>
        </w:numPr>
        <w:spacing w:line="580" w:lineRule="exact"/>
        <w:rPr>
          <w:rFonts w:hint="eastAsia" w:ascii="楷体_GB2312" w:hAnsi="楷体_GB2312" w:eastAsia="楷体_GB2312"/>
          <w:color w:val="000000"/>
          <w:spacing w:val="0"/>
          <w:w w:val="102"/>
          <w:sz w:val="32"/>
        </w:rPr>
      </w:pPr>
      <w:r>
        <w:rPr>
          <w:rFonts w:hint="eastAsia" w:ascii="楷体_GB2312" w:hAnsi="楷体_GB2312" w:eastAsia="楷体_GB2312"/>
          <w:color w:val="000000"/>
          <w:spacing w:val="0"/>
          <w:w w:val="102"/>
          <w:sz w:val="32"/>
        </w:rPr>
        <w:t xml:space="preserve">    第六章  附则</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left"/>
        <w:textAlignment w:val="auto"/>
        <w:outlineLvl w:val="9"/>
        <w:rPr>
          <w:rFonts w:hint="eastAsia" w:ascii="仿宋_GB2312" w:hAnsi="仿宋_GB2312" w:eastAsia="仿宋_GB2312"/>
          <w:color w:val="000000"/>
          <w:spacing w:val="0"/>
          <w:kern w:val="0"/>
          <w:sz w:val="32"/>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b w:val="0"/>
          <w:bCs/>
          <w:color w:val="000000"/>
          <w:spacing w:val="0"/>
          <w:kern w:val="0"/>
          <w:sz w:val="32"/>
        </w:rPr>
      </w:pPr>
      <w:r>
        <w:rPr>
          <w:rFonts w:hint="eastAsia" w:ascii="黑体" w:hAnsi="黑体" w:eastAsia="黑体"/>
          <w:b w:val="0"/>
          <w:bCs/>
          <w:color w:val="000000"/>
          <w:spacing w:val="0"/>
          <w:kern w:val="0"/>
          <w:sz w:val="32"/>
        </w:rPr>
        <w:t>第一章</w:t>
      </w:r>
      <w:r>
        <w:rPr>
          <w:rFonts w:hint="eastAsia" w:ascii="黑体" w:hAnsi="黑体" w:eastAsia="黑体"/>
          <w:b w:val="0"/>
          <w:bCs/>
          <w:color w:val="000000"/>
          <w:spacing w:val="0"/>
          <w:kern w:val="0"/>
          <w:sz w:val="32"/>
          <w:lang w:val="en-US" w:eastAsia="zh-CN"/>
        </w:rPr>
        <w:t xml:space="preserve">  </w:t>
      </w:r>
      <w:r>
        <w:rPr>
          <w:rFonts w:hint="eastAsia" w:ascii="黑体" w:hAnsi="黑体" w:eastAsia="黑体"/>
          <w:b w:val="0"/>
          <w:bCs/>
          <w:color w:val="000000"/>
          <w:spacing w:val="0"/>
          <w:kern w:val="0"/>
          <w:sz w:val="32"/>
        </w:rPr>
        <w:t>总则</w:t>
      </w: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b w:val="0"/>
          <w:bCs/>
          <w:color w:val="000000"/>
          <w:spacing w:val="0"/>
          <w:kern w:val="0"/>
          <w:sz w:val="32"/>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440" w:firstLineChars="200"/>
        <w:jc w:val="both"/>
        <w:textAlignment w:val="auto"/>
        <w:outlineLvl w:val="9"/>
        <w:rPr>
          <w:rFonts w:hint="eastAsia" w:ascii="仿宋_GB2312" w:hAnsi="仿宋_GB2312" w:eastAsia="仿宋_GB2312"/>
          <w:b/>
          <w:color w:val="000000"/>
          <w:spacing w:val="0"/>
          <w:kern w:val="0"/>
          <w:sz w:val="32"/>
        </w:rPr>
      </w:pPr>
      <w:r>
        <w:rPr>
          <w:rFonts w:hint="eastAsia" w:ascii="黑体" w:hAnsi="黑体" w:eastAsia="黑体"/>
          <w:color w:val="000000"/>
          <w:spacing w:val="0"/>
          <w:kern w:val="0"/>
          <w:sz w:val="32"/>
        </w:rPr>
        <w:t>第一条</w:t>
      </w:r>
      <w:r>
        <w:rPr>
          <w:rFonts w:hint="eastAsia" w:ascii="仿宋_GB2312" w:hAnsi="仿宋_GB2312" w:eastAsia="仿宋_GB2312"/>
          <w:b/>
          <w:color w:val="000000"/>
          <w:spacing w:val="0"/>
          <w:kern w:val="0"/>
          <w:sz w:val="32"/>
          <w:lang w:val="en-US" w:eastAsia="zh-CN"/>
        </w:rPr>
        <w:t xml:space="preserve">  </w:t>
      </w:r>
      <w:r>
        <w:rPr>
          <w:rFonts w:hint="eastAsia" w:ascii="仿宋_GB2312" w:hAnsi="仿宋_GB2312" w:eastAsia="仿宋_GB2312"/>
          <w:color w:val="000000"/>
          <w:spacing w:val="0"/>
          <w:kern w:val="0"/>
          <w:sz w:val="32"/>
        </w:rPr>
        <w:t>为了预防土地沙化，治理沙化土地，维护生态安全，促进经济和社会可持续发展，根据《中华人民共和国防沙治沙法》和有关法律、法规的规定，结合自治区实际，制定本条例。</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440" w:firstLineChars="200"/>
        <w:jc w:val="both"/>
        <w:textAlignment w:val="auto"/>
        <w:outlineLvl w:val="9"/>
        <w:rPr>
          <w:rFonts w:hint="eastAsia" w:ascii="仿宋_GB2312" w:hAnsi="仿宋_GB2312" w:eastAsia="仿宋_GB2312"/>
          <w:b/>
          <w:color w:val="000000"/>
          <w:spacing w:val="0"/>
          <w:kern w:val="0"/>
          <w:sz w:val="32"/>
        </w:rPr>
      </w:pPr>
      <w:r>
        <w:rPr>
          <w:rFonts w:hint="eastAsia" w:ascii="黑体" w:hAnsi="黑体" w:eastAsia="黑体"/>
          <w:color w:val="000000"/>
          <w:spacing w:val="0"/>
          <w:kern w:val="0"/>
          <w:sz w:val="32"/>
        </w:rPr>
        <w:t>第二条</w:t>
      </w:r>
      <w:r>
        <w:rPr>
          <w:rFonts w:hint="eastAsia" w:ascii="仿宋_GB2312" w:hAnsi="仿宋_GB2312" w:eastAsia="仿宋_GB2312"/>
          <w:color w:val="000000"/>
          <w:spacing w:val="0"/>
          <w:kern w:val="0"/>
          <w:sz w:val="32"/>
          <w:lang w:val="en-US" w:eastAsia="zh-CN"/>
        </w:rPr>
        <w:t xml:space="preserve">  </w:t>
      </w:r>
      <w:r>
        <w:rPr>
          <w:rFonts w:hint="eastAsia" w:ascii="仿宋_GB2312" w:hAnsi="仿宋_GB2312" w:eastAsia="仿宋_GB2312"/>
          <w:color w:val="000000"/>
          <w:spacing w:val="0"/>
          <w:kern w:val="0"/>
          <w:sz w:val="32"/>
        </w:rPr>
        <w:t>在自治区行政区域内从事土地沙化的预防、沙化土地的治理和利用以及监督管理活动，适用本条例。</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440" w:firstLineChars="200"/>
        <w:jc w:val="both"/>
        <w:textAlignment w:val="auto"/>
        <w:outlineLvl w:val="9"/>
        <w:rPr>
          <w:rFonts w:hint="eastAsia" w:ascii="仿宋_GB2312" w:hAnsi="仿宋_GB2312" w:eastAsia="仿宋_GB2312"/>
          <w:color w:val="000000"/>
          <w:spacing w:val="0"/>
          <w:kern w:val="0"/>
          <w:sz w:val="32"/>
        </w:rPr>
      </w:pPr>
      <w:r>
        <w:rPr>
          <w:rFonts w:hint="eastAsia" w:ascii="黑体" w:hAnsi="黑体" w:eastAsia="黑体"/>
          <w:color w:val="000000"/>
          <w:spacing w:val="0"/>
          <w:kern w:val="0"/>
          <w:sz w:val="32"/>
        </w:rPr>
        <w:t>第三条</w:t>
      </w:r>
      <w:r>
        <w:rPr>
          <w:rFonts w:hint="eastAsia" w:ascii="仿宋_GB2312" w:hAnsi="仿宋_GB2312" w:eastAsia="仿宋_GB2312"/>
          <w:b/>
          <w:color w:val="000000"/>
          <w:spacing w:val="0"/>
          <w:kern w:val="0"/>
          <w:sz w:val="32"/>
          <w:lang w:val="en-US" w:eastAsia="zh-CN"/>
        </w:rPr>
        <w:t xml:space="preserve">  </w:t>
      </w:r>
      <w:r>
        <w:rPr>
          <w:rFonts w:hint="eastAsia" w:ascii="仿宋_GB2312" w:hAnsi="仿宋_GB2312" w:eastAsia="仿宋_GB2312"/>
          <w:color w:val="000000"/>
          <w:spacing w:val="0"/>
          <w:kern w:val="0"/>
          <w:sz w:val="32"/>
        </w:rPr>
        <w:t>县级以上人民政府负责领导本行政区域的防沙治沙工作。</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440" w:firstLineChars="200"/>
        <w:jc w:val="both"/>
        <w:textAlignment w:val="auto"/>
        <w:outlineLvl w:val="9"/>
        <w:rPr>
          <w:rFonts w:hint="eastAsia" w:ascii="仿宋_GB2312" w:hAnsi="仿宋_GB2312" w:eastAsia="仿宋_GB2312"/>
          <w:color w:val="000000"/>
          <w:spacing w:val="0"/>
          <w:kern w:val="0"/>
          <w:sz w:val="32"/>
        </w:rPr>
      </w:pPr>
      <w:r>
        <w:rPr>
          <w:rFonts w:hint="eastAsia" w:ascii="仿宋_GB2312" w:hAnsi="仿宋_GB2312" w:eastAsia="仿宋_GB2312"/>
          <w:color w:val="000000"/>
          <w:spacing w:val="0"/>
          <w:kern w:val="0"/>
          <w:sz w:val="32"/>
        </w:rPr>
        <w:t>各级人民政府应当采取有效措施，预防土地沙化，治理沙化土地，保护和改善生态质量。</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440" w:firstLineChars="200"/>
        <w:jc w:val="both"/>
        <w:textAlignment w:val="auto"/>
        <w:outlineLvl w:val="9"/>
        <w:rPr>
          <w:rFonts w:hint="eastAsia" w:ascii="仿宋_GB2312" w:hAnsi="仿宋_GB2312" w:eastAsia="仿宋_GB2312"/>
          <w:color w:val="000000"/>
          <w:spacing w:val="0"/>
          <w:kern w:val="0"/>
          <w:sz w:val="32"/>
        </w:rPr>
      </w:pPr>
      <w:r>
        <w:rPr>
          <w:rFonts w:hint="eastAsia" w:ascii="仿宋_GB2312" w:hAnsi="仿宋_GB2312" w:eastAsia="仿宋_GB2312"/>
          <w:color w:val="000000"/>
          <w:spacing w:val="0"/>
          <w:kern w:val="0"/>
          <w:sz w:val="32"/>
        </w:rPr>
        <w:t>自治区、设区的市、县（市、区）林业草原管理部门负责组织、协调、管理和监督本行政区域的防沙治沙工作。</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440" w:firstLineChars="200"/>
        <w:jc w:val="both"/>
        <w:textAlignment w:val="auto"/>
        <w:outlineLvl w:val="9"/>
        <w:rPr>
          <w:rFonts w:hint="eastAsia" w:ascii="仿宋_GB2312" w:hAnsi="仿宋_GB2312" w:eastAsia="仿宋_GB2312"/>
          <w:b/>
          <w:color w:val="000000"/>
          <w:spacing w:val="0"/>
          <w:kern w:val="0"/>
          <w:sz w:val="32"/>
        </w:rPr>
      </w:pPr>
      <w:r>
        <w:rPr>
          <w:rFonts w:hint="eastAsia" w:ascii="仿宋_GB2312" w:hAnsi="仿宋_GB2312" w:eastAsia="仿宋_GB2312"/>
          <w:color w:val="000000"/>
          <w:spacing w:val="0"/>
          <w:kern w:val="0"/>
          <w:sz w:val="32"/>
        </w:rPr>
        <w:t>县级以上人民政府农业农村、水利、自然资源、生态环境、科技等部门和气象主管机构，应当按照各自职责，做好防沙治沙工作。</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440" w:firstLineChars="200"/>
        <w:jc w:val="both"/>
        <w:textAlignment w:val="auto"/>
        <w:outlineLvl w:val="9"/>
        <w:rPr>
          <w:rFonts w:hint="eastAsia" w:ascii="仿宋_GB2312" w:hAnsi="仿宋_GB2312" w:eastAsia="仿宋_GB2312"/>
          <w:b/>
          <w:color w:val="000000"/>
          <w:spacing w:val="0"/>
          <w:kern w:val="0"/>
          <w:sz w:val="32"/>
        </w:rPr>
      </w:pPr>
      <w:r>
        <w:rPr>
          <w:rFonts w:hint="eastAsia" w:ascii="黑体" w:hAnsi="黑体" w:eastAsia="黑体"/>
          <w:color w:val="000000"/>
          <w:spacing w:val="0"/>
          <w:kern w:val="0"/>
          <w:sz w:val="32"/>
        </w:rPr>
        <w:t>第四条</w:t>
      </w:r>
      <w:r>
        <w:rPr>
          <w:rFonts w:hint="eastAsia" w:ascii="仿宋_GB2312" w:hAnsi="仿宋_GB2312" w:eastAsia="仿宋_GB2312"/>
          <w:b/>
          <w:color w:val="000000"/>
          <w:spacing w:val="0"/>
          <w:kern w:val="0"/>
          <w:sz w:val="32"/>
          <w:lang w:val="en-US" w:eastAsia="zh-CN"/>
        </w:rPr>
        <w:t xml:space="preserve">  </w:t>
      </w:r>
      <w:r>
        <w:rPr>
          <w:rFonts w:hint="eastAsia" w:ascii="仿宋_GB2312" w:hAnsi="仿宋_GB2312" w:eastAsia="仿宋_GB2312"/>
          <w:color w:val="000000"/>
          <w:spacing w:val="0"/>
          <w:kern w:val="0"/>
          <w:sz w:val="32"/>
        </w:rPr>
        <w:t>防沙治沙工作应当坚持科学统一规划，因地制宜，突出重点，防治并重，综合治理，合理利用，生态、经济和社会效益相统一，保障防沙治沙者合法权益的原则。</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440" w:firstLineChars="200"/>
        <w:jc w:val="both"/>
        <w:textAlignment w:val="auto"/>
        <w:outlineLvl w:val="9"/>
        <w:rPr>
          <w:rFonts w:hint="eastAsia" w:ascii="仿宋_GB2312" w:hAnsi="仿宋_GB2312" w:eastAsia="仿宋_GB2312"/>
          <w:b/>
          <w:color w:val="000000"/>
          <w:spacing w:val="0"/>
          <w:kern w:val="0"/>
          <w:sz w:val="32"/>
        </w:rPr>
      </w:pPr>
      <w:r>
        <w:rPr>
          <w:rFonts w:hint="eastAsia" w:ascii="黑体" w:hAnsi="黑体" w:eastAsia="黑体"/>
          <w:color w:val="000000"/>
          <w:spacing w:val="0"/>
          <w:kern w:val="0"/>
          <w:sz w:val="32"/>
        </w:rPr>
        <w:t>第五条</w:t>
      </w:r>
      <w:r>
        <w:rPr>
          <w:rFonts w:hint="eastAsia" w:ascii="仿宋_GB2312" w:hAnsi="仿宋_GB2312" w:eastAsia="仿宋_GB2312"/>
          <w:b/>
          <w:color w:val="000000"/>
          <w:spacing w:val="0"/>
          <w:kern w:val="0"/>
          <w:sz w:val="32"/>
          <w:lang w:val="en-US" w:eastAsia="zh-CN"/>
        </w:rPr>
        <w:t xml:space="preserve">  </w:t>
      </w:r>
      <w:r>
        <w:rPr>
          <w:rFonts w:hint="eastAsia" w:ascii="仿宋_GB2312" w:hAnsi="仿宋_GB2312" w:eastAsia="仿宋_GB2312"/>
          <w:color w:val="000000"/>
          <w:spacing w:val="0"/>
          <w:kern w:val="0"/>
          <w:sz w:val="32"/>
        </w:rPr>
        <w:t>县级以上人民政府应当将防沙治沙纳入国民经济和社会发展规划以及年度计划，将防沙治沙所需经费纳入本级财政预算，并随着财政收入的增长逐步增加。</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440" w:firstLineChars="200"/>
        <w:jc w:val="both"/>
        <w:textAlignment w:val="auto"/>
        <w:outlineLvl w:val="9"/>
        <w:rPr>
          <w:rFonts w:hint="eastAsia" w:ascii="仿宋_GB2312" w:hAnsi="仿宋_GB2312" w:eastAsia="仿宋_GB2312"/>
          <w:color w:val="000000"/>
          <w:spacing w:val="0"/>
          <w:kern w:val="0"/>
          <w:sz w:val="32"/>
        </w:rPr>
      </w:pPr>
      <w:r>
        <w:rPr>
          <w:rFonts w:hint="eastAsia" w:ascii="黑体" w:hAnsi="黑体" w:eastAsia="黑体"/>
          <w:color w:val="000000"/>
          <w:spacing w:val="0"/>
          <w:kern w:val="0"/>
          <w:sz w:val="32"/>
        </w:rPr>
        <w:t>第六条</w:t>
      </w:r>
      <w:r>
        <w:rPr>
          <w:rFonts w:hint="eastAsia" w:ascii="仿宋_GB2312" w:hAnsi="仿宋_GB2312" w:eastAsia="仿宋_GB2312"/>
          <w:b/>
          <w:color w:val="000000"/>
          <w:spacing w:val="0"/>
          <w:kern w:val="0"/>
          <w:sz w:val="32"/>
        </w:rPr>
        <w:t>　</w:t>
      </w:r>
      <w:r>
        <w:rPr>
          <w:rFonts w:hint="eastAsia" w:ascii="仿宋_GB2312" w:hAnsi="仿宋_GB2312" w:eastAsia="仿宋_GB2312"/>
          <w:color w:val="000000"/>
          <w:spacing w:val="0"/>
          <w:kern w:val="0"/>
          <w:sz w:val="32"/>
        </w:rPr>
        <w:t>自治区人民政府应当制定优惠政策，鼓励和支持单位、个人进行防沙治沙。</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440" w:firstLineChars="200"/>
        <w:jc w:val="both"/>
        <w:textAlignment w:val="auto"/>
        <w:outlineLvl w:val="9"/>
        <w:rPr>
          <w:rFonts w:hint="eastAsia" w:ascii="仿宋_GB2312" w:hAnsi="仿宋_GB2312" w:eastAsia="仿宋_GB2312"/>
          <w:b/>
          <w:color w:val="000000"/>
          <w:spacing w:val="0"/>
          <w:kern w:val="0"/>
          <w:sz w:val="32"/>
        </w:rPr>
      </w:pPr>
      <w:r>
        <w:rPr>
          <w:rFonts w:hint="eastAsia" w:ascii="仿宋_GB2312" w:hAnsi="仿宋_GB2312" w:eastAsia="仿宋_GB2312"/>
          <w:color w:val="000000"/>
          <w:spacing w:val="0"/>
          <w:kern w:val="0"/>
          <w:sz w:val="32"/>
        </w:rPr>
        <w:t>县级以上人民政府应当按照国家有关规定，根据防沙治沙的面积和难易程度，给予从事防沙治沙活动的单位和个人资金补助、财政贴息以及依法减免税费等优惠。</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440" w:firstLineChars="200"/>
        <w:jc w:val="both"/>
        <w:textAlignment w:val="auto"/>
        <w:outlineLvl w:val="9"/>
        <w:rPr>
          <w:rFonts w:hint="eastAsia" w:ascii="仿宋_GB2312" w:hAnsi="仿宋_GB2312" w:eastAsia="仿宋_GB2312"/>
          <w:color w:val="000000"/>
          <w:spacing w:val="0"/>
          <w:kern w:val="0"/>
          <w:sz w:val="32"/>
        </w:rPr>
      </w:pPr>
      <w:r>
        <w:rPr>
          <w:rFonts w:hint="eastAsia" w:ascii="黑体" w:hAnsi="黑体" w:eastAsia="黑体"/>
          <w:color w:val="000000"/>
          <w:spacing w:val="0"/>
          <w:kern w:val="0"/>
          <w:sz w:val="32"/>
        </w:rPr>
        <w:t>第七条</w:t>
      </w:r>
      <w:r>
        <w:rPr>
          <w:rFonts w:hint="eastAsia" w:ascii="仿宋_GB2312" w:hAnsi="仿宋_GB2312" w:eastAsia="仿宋_GB2312"/>
          <w:b/>
          <w:color w:val="000000"/>
          <w:spacing w:val="0"/>
          <w:kern w:val="0"/>
          <w:sz w:val="32"/>
          <w:lang w:val="en-US" w:eastAsia="zh-CN"/>
        </w:rPr>
        <w:t xml:space="preserve">  </w:t>
      </w:r>
      <w:r>
        <w:rPr>
          <w:rFonts w:hint="eastAsia" w:ascii="仿宋_GB2312" w:hAnsi="仿宋_GB2312" w:eastAsia="仿宋_GB2312"/>
          <w:color w:val="000000"/>
          <w:spacing w:val="0"/>
          <w:kern w:val="0"/>
          <w:sz w:val="32"/>
        </w:rPr>
        <w:t>自治区人民政府应当根据防沙治沙的需要，设立防沙治沙重点科研项目和示范、推广项目，加快建设国家防沙治沙综合示范区，加快防沙治沙专业技术人才的培养。</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440" w:firstLineChars="200"/>
        <w:jc w:val="both"/>
        <w:textAlignment w:val="auto"/>
        <w:outlineLvl w:val="9"/>
        <w:rPr>
          <w:rFonts w:hint="eastAsia" w:ascii="仿宋_GB2312" w:hAnsi="仿宋_GB2312" w:eastAsia="仿宋_GB2312"/>
          <w:b/>
          <w:color w:val="000000"/>
          <w:spacing w:val="0"/>
          <w:kern w:val="0"/>
          <w:sz w:val="32"/>
        </w:rPr>
      </w:pPr>
      <w:r>
        <w:rPr>
          <w:rFonts w:hint="eastAsia" w:ascii="仿宋_GB2312" w:hAnsi="仿宋_GB2312" w:eastAsia="仿宋_GB2312"/>
          <w:color w:val="000000"/>
          <w:spacing w:val="0"/>
          <w:kern w:val="0"/>
          <w:sz w:val="32"/>
        </w:rPr>
        <w:t>县级以上人民政府应当鼓励和支持防沙治沙技术推广工作；支持防沙治沙教育、科研和培训机构的建设，发挥高等院校、科研单位、防沙治沙机构的作用；支持开展防沙治沙的国际间交流合作。</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440" w:firstLineChars="200"/>
        <w:jc w:val="both"/>
        <w:textAlignment w:val="auto"/>
        <w:outlineLvl w:val="9"/>
        <w:rPr>
          <w:rFonts w:hint="eastAsia" w:ascii="仿宋_GB2312" w:hAnsi="仿宋_GB2312" w:eastAsia="仿宋_GB2312"/>
          <w:color w:val="000000"/>
          <w:spacing w:val="0"/>
          <w:kern w:val="0"/>
          <w:sz w:val="32"/>
        </w:rPr>
      </w:pPr>
      <w:r>
        <w:rPr>
          <w:rFonts w:hint="eastAsia" w:ascii="黑体" w:hAnsi="黑体" w:eastAsia="黑体"/>
          <w:color w:val="000000"/>
          <w:spacing w:val="0"/>
          <w:kern w:val="0"/>
          <w:sz w:val="32"/>
        </w:rPr>
        <w:t>第八条</w:t>
      </w:r>
      <w:r>
        <w:rPr>
          <w:rFonts w:hint="eastAsia" w:ascii="仿宋_GB2312" w:hAnsi="仿宋_GB2312" w:eastAsia="仿宋_GB2312"/>
          <w:b/>
          <w:color w:val="000000"/>
          <w:spacing w:val="0"/>
          <w:kern w:val="0"/>
          <w:sz w:val="32"/>
          <w:lang w:val="en-US" w:eastAsia="zh-CN"/>
        </w:rPr>
        <w:t xml:space="preserve">  </w:t>
      </w:r>
      <w:r>
        <w:rPr>
          <w:rFonts w:hint="eastAsia" w:ascii="仿宋_GB2312" w:hAnsi="仿宋_GB2312" w:eastAsia="仿宋_GB2312"/>
          <w:color w:val="000000"/>
          <w:spacing w:val="0"/>
          <w:kern w:val="0"/>
          <w:sz w:val="32"/>
        </w:rPr>
        <w:t>各级人民政府应当组织有关部门开展防沙治沙知识的宣传教育，增强公民防沙治沙的意识，提高公民防沙治沙的能力。</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440" w:firstLineChars="200"/>
        <w:jc w:val="both"/>
        <w:textAlignment w:val="auto"/>
        <w:outlineLvl w:val="9"/>
        <w:rPr>
          <w:rFonts w:hint="eastAsia" w:ascii="仿宋_GB2312" w:hAnsi="仿宋_GB2312" w:eastAsia="仿宋_GB2312"/>
          <w:b/>
          <w:color w:val="000000"/>
          <w:spacing w:val="0"/>
          <w:kern w:val="0"/>
          <w:sz w:val="32"/>
        </w:rPr>
      </w:pPr>
      <w:r>
        <w:rPr>
          <w:rFonts w:hint="eastAsia" w:ascii="仿宋_GB2312" w:hAnsi="仿宋_GB2312" w:eastAsia="仿宋_GB2312"/>
          <w:color w:val="000000"/>
          <w:spacing w:val="0"/>
          <w:kern w:val="0"/>
          <w:sz w:val="32"/>
        </w:rPr>
        <w:t>鼓励和支持公民、法人、其他组织开展防沙治沙募捐和公益性宣传活动。</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440" w:firstLineChars="200"/>
        <w:jc w:val="both"/>
        <w:textAlignment w:val="auto"/>
        <w:outlineLvl w:val="9"/>
        <w:rPr>
          <w:rFonts w:hint="eastAsia" w:ascii="仿宋_GB2312" w:hAnsi="仿宋_GB2312" w:eastAsia="仿宋_GB2312"/>
          <w:color w:val="000000"/>
          <w:spacing w:val="0"/>
          <w:kern w:val="0"/>
          <w:sz w:val="32"/>
        </w:rPr>
      </w:pPr>
      <w:r>
        <w:rPr>
          <w:rFonts w:hint="eastAsia" w:ascii="黑体" w:hAnsi="黑体" w:eastAsia="黑体"/>
          <w:color w:val="000000"/>
          <w:spacing w:val="0"/>
          <w:kern w:val="0"/>
          <w:sz w:val="32"/>
        </w:rPr>
        <w:t>第九条</w:t>
      </w:r>
      <w:r>
        <w:rPr>
          <w:rFonts w:hint="eastAsia" w:ascii="仿宋_GB2312" w:hAnsi="仿宋_GB2312" w:eastAsia="仿宋_GB2312"/>
          <w:b/>
          <w:color w:val="000000"/>
          <w:spacing w:val="0"/>
          <w:kern w:val="0"/>
          <w:sz w:val="32"/>
        </w:rPr>
        <w:t>　</w:t>
      </w:r>
      <w:r>
        <w:rPr>
          <w:rFonts w:hint="eastAsia" w:ascii="仿宋_GB2312" w:hAnsi="仿宋_GB2312" w:eastAsia="仿宋_GB2312"/>
          <w:color w:val="000000"/>
          <w:spacing w:val="0"/>
          <w:kern w:val="0"/>
          <w:sz w:val="32"/>
        </w:rPr>
        <w:t>县级以上人民政府应当建立防沙治沙任期目标责任考核奖惩制度。对在防沙治沙工作及其科研、技术推广中成绩突出的单位和个人，应当给予表彰和奖励。</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640" w:firstLineChars="200"/>
        <w:jc w:val="left"/>
        <w:textAlignment w:val="auto"/>
        <w:outlineLvl w:val="9"/>
        <w:rPr>
          <w:rFonts w:hint="eastAsia" w:ascii="仿宋_GB2312" w:hAnsi="仿宋_GB2312" w:eastAsia="仿宋_GB2312"/>
          <w:color w:val="000000"/>
          <w:spacing w:val="0"/>
          <w:kern w:val="0"/>
          <w:sz w:val="32"/>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olor w:val="000000"/>
          <w:spacing w:val="0"/>
          <w:kern w:val="0"/>
          <w:sz w:val="32"/>
        </w:rPr>
      </w:pPr>
      <w:r>
        <w:rPr>
          <w:rFonts w:hint="eastAsia" w:ascii="黑体" w:hAnsi="黑体" w:eastAsia="黑体"/>
          <w:color w:val="000000"/>
          <w:spacing w:val="0"/>
          <w:kern w:val="0"/>
          <w:sz w:val="32"/>
        </w:rPr>
        <w:t>第二章</w:t>
      </w:r>
      <w:r>
        <w:rPr>
          <w:rFonts w:hint="eastAsia" w:ascii="黑体" w:hAnsi="黑体" w:eastAsia="黑体"/>
          <w:color w:val="000000"/>
          <w:spacing w:val="0"/>
          <w:kern w:val="0"/>
          <w:sz w:val="32"/>
          <w:lang w:val="en-US" w:eastAsia="zh-CN"/>
        </w:rPr>
        <w:t xml:space="preserve">  </w:t>
      </w:r>
      <w:r>
        <w:rPr>
          <w:rFonts w:hint="eastAsia" w:ascii="黑体" w:hAnsi="黑体" w:eastAsia="黑体"/>
          <w:color w:val="000000"/>
          <w:spacing w:val="0"/>
          <w:kern w:val="0"/>
          <w:sz w:val="32"/>
        </w:rPr>
        <w:t>防沙治沙规划与管理</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640" w:firstLineChars="200"/>
        <w:jc w:val="left"/>
        <w:textAlignment w:val="auto"/>
        <w:outlineLvl w:val="9"/>
        <w:rPr>
          <w:rFonts w:hint="eastAsia" w:ascii="黑体" w:hAnsi="黑体" w:eastAsia="黑体"/>
          <w:color w:val="000000"/>
          <w:spacing w:val="0"/>
          <w:kern w:val="0"/>
          <w:sz w:val="32"/>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440" w:firstLineChars="200"/>
        <w:jc w:val="both"/>
        <w:textAlignment w:val="auto"/>
        <w:outlineLvl w:val="9"/>
        <w:rPr>
          <w:rFonts w:hint="eastAsia" w:ascii="仿宋_GB2312" w:hAnsi="仿宋_GB2312" w:eastAsia="仿宋_GB2312"/>
          <w:color w:val="000000"/>
          <w:spacing w:val="0"/>
          <w:kern w:val="0"/>
          <w:sz w:val="32"/>
        </w:rPr>
      </w:pPr>
      <w:r>
        <w:rPr>
          <w:rFonts w:hint="eastAsia" w:ascii="黑体" w:hAnsi="黑体" w:eastAsia="黑体"/>
          <w:color w:val="000000"/>
          <w:spacing w:val="0"/>
          <w:kern w:val="0"/>
          <w:sz w:val="32"/>
        </w:rPr>
        <w:t>第十条</w:t>
      </w:r>
      <w:r>
        <w:rPr>
          <w:rFonts w:hint="eastAsia" w:ascii="仿宋_GB2312" w:hAnsi="仿宋_GB2312" w:eastAsia="仿宋_GB2312"/>
          <w:b/>
          <w:color w:val="000000"/>
          <w:spacing w:val="0"/>
          <w:kern w:val="0"/>
          <w:sz w:val="32"/>
          <w:lang w:val="en-US" w:eastAsia="zh-CN"/>
        </w:rPr>
        <w:t xml:space="preserve">  </w:t>
      </w:r>
      <w:r>
        <w:rPr>
          <w:rFonts w:hint="eastAsia" w:ascii="仿宋_GB2312" w:hAnsi="仿宋_GB2312" w:eastAsia="仿宋_GB2312"/>
          <w:color w:val="000000"/>
          <w:spacing w:val="0"/>
          <w:kern w:val="0"/>
          <w:sz w:val="32"/>
        </w:rPr>
        <w:t>县级以上人民政府应当依据上一级人民政府的防沙治沙规划，结合沙化土地状况及其所发挥的生态、经济和社会功能，组织编制本行政区域防沙治沙规划，报上一级人民政府批准后实施。</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440" w:firstLineChars="200"/>
        <w:jc w:val="both"/>
        <w:textAlignment w:val="auto"/>
        <w:outlineLvl w:val="9"/>
        <w:rPr>
          <w:rFonts w:hint="eastAsia" w:ascii="仿宋_GB2312" w:hAnsi="仿宋_GB2312" w:eastAsia="仿宋_GB2312"/>
          <w:b/>
          <w:color w:val="000000"/>
          <w:spacing w:val="0"/>
          <w:kern w:val="0"/>
          <w:sz w:val="32"/>
        </w:rPr>
      </w:pPr>
      <w:r>
        <w:rPr>
          <w:rFonts w:hint="eastAsia" w:ascii="仿宋_GB2312" w:hAnsi="仿宋_GB2312" w:eastAsia="仿宋_GB2312"/>
          <w:color w:val="000000"/>
          <w:spacing w:val="0"/>
          <w:kern w:val="0"/>
          <w:sz w:val="32"/>
        </w:rPr>
        <w:t>防沙治沙规划应当与土地利用规划、水资源规划、环境保护规划相衔接。</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440" w:firstLineChars="200"/>
        <w:jc w:val="both"/>
        <w:textAlignment w:val="auto"/>
        <w:outlineLvl w:val="9"/>
        <w:rPr>
          <w:rFonts w:hint="eastAsia" w:ascii="仿宋_GB2312" w:hAnsi="仿宋_GB2312" w:eastAsia="仿宋_GB2312"/>
          <w:color w:val="000000"/>
          <w:spacing w:val="0"/>
          <w:kern w:val="0"/>
          <w:sz w:val="32"/>
        </w:rPr>
      </w:pPr>
      <w:r>
        <w:rPr>
          <w:rFonts w:hint="eastAsia" w:ascii="黑体" w:hAnsi="黑体" w:eastAsia="黑体"/>
          <w:color w:val="000000"/>
          <w:spacing w:val="0"/>
          <w:kern w:val="0"/>
          <w:sz w:val="32"/>
        </w:rPr>
        <w:t>第十一条</w:t>
      </w:r>
      <w:r>
        <w:rPr>
          <w:rFonts w:hint="eastAsia" w:ascii="仿宋_GB2312" w:hAnsi="仿宋_GB2312" w:eastAsia="仿宋_GB2312"/>
          <w:b/>
          <w:color w:val="000000"/>
          <w:spacing w:val="0"/>
          <w:kern w:val="0"/>
          <w:sz w:val="32"/>
          <w:lang w:val="en-US" w:eastAsia="zh-CN"/>
        </w:rPr>
        <w:t xml:space="preserve">  </w:t>
      </w:r>
      <w:r>
        <w:rPr>
          <w:rFonts w:hint="eastAsia" w:ascii="仿宋_GB2312" w:hAnsi="仿宋_GB2312" w:eastAsia="仿宋_GB2312"/>
          <w:color w:val="000000"/>
          <w:spacing w:val="0"/>
          <w:kern w:val="0"/>
          <w:sz w:val="32"/>
        </w:rPr>
        <w:t>沙化土地实行分类保护、分区管理。沙化土地分为封禁保护区、预防保护区和治理利用区。</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440" w:firstLineChars="200"/>
        <w:jc w:val="both"/>
        <w:textAlignment w:val="auto"/>
        <w:outlineLvl w:val="9"/>
        <w:rPr>
          <w:rFonts w:hint="eastAsia" w:ascii="仿宋_GB2312" w:hAnsi="仿宋_GB2312" w:eastAsia="仿宋_GB2312"/>
          <w:color w:val="000000"/>
          <w:spacing w:val="0"/>
          <w:kern w:val="0"/>
          <w:sz w:val="32"/>
        </w:rPr>
      </w:pPr>
      <w:r>
        <w:rPr>
          <w:rFonts w:hint="eastAsia" w:ascii="仿宋_GB2312" w:hAnsi="仿宋_GB2312" w:eastAsia="仿宋_GB2312"/>
          <w:color w:val="000000"/>
          <w:spacing w:val="0"/>
          <w:kern w:val="0"/>
          <w:sz w:val="32"/>
        </w:rPr>
        <w:t>封禁保护区是指在规划期内不具备治理条件的连片沙化土地，以及因保护生态需要不宜开发利用的连片沙化土地。</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440" w:firstLineChars="200"/>
        <w:jc w:val="both"/>
        <w:textAlignment w:val="auto"/>
        <w:outlineLvl w:val="9"/>
        <w:rPr>
          <w:rFonts w:hint="eastAsia" w:ascii="仿宋_GB2312" w:hAnsi="仿宋_GB2312" w:eastAsia="仿宋_GB2312"/>
          <w:color w:val="000000"/>
          <w:spacing w:val="0"/>
          <w:kern w:val="0"/>
          <w:sz w:val="32"/>
        </w:rPr>
      </w:pPr>
      <w:r>
        <w:rPr>
          <w:rFonts w:hint="eastAsia" w:ascii="仿宋_GB2312" w:hAnsi="仿宋_GB2312" w:eastAsia="仿宋_GB2312"/>
          <w:color w:val="000000"/>
          <w:spacing w:val="0"/>
          <w:kern w:val="0"/>
          <w:sz w:val="32"/>
        </w:rPr>
        <w:t>预防保护区是指具备自然恢复能力的连片沙化土地，以及经过治理基本形成固定沙地，但极易风化和活化的连片沙化土地。</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440" w:firstLineChars="200"/>
        <w:jc w:val="both"/>
        <w:textAlignment w:val="auto"/>
        <w:outlineLvl w:val="9"/>
        <w:rPr>
          <w:rFonts w:hint="eastAsia" w:ascii="仿宋_GB2312" w:hAnsi="仿宋_GB2312" w:eastAsia="仿宋_GB2312"/>
          <w:color w:val="000000"/>
          <w:spacing w:val="0"/>
          <w:kern w:val="0"/>
          <w:sz w:val="32"/>
        </w:rPr>
      </w:pPr>
      <w:r>
        <w:rPr>
          <w:rFonts w:hint="eastAsia" w:ascii="仿宋_GB2312" w:hAnsi="仿宋_GB2312" w:eastAsia="仿宋_GB2312"/>
          <w:color w:val="000000"/>
          <w:spacing w:val="0"/>
          <w:kern w:val="0"/>
          <w:sz w:val="32"/>
        </w:rPr>
        <w:t>治理利用区是指具备一定治理条件，能够通过综合治理逐步恢复改善植被和生态功能的沙化土地，以及治理后可以适度开发利用的沙化土地。</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440" w:firstLineChars="200"/>
        <w:jc w:val="both"/>
        <w:textAlignment w:val="auto"/>
        <w:outlineLvl w:val="9"/>
        <w:rPr>
          <w:rFonts w:hint="eastAsia" w:ascii="仿宋_GB2312" w:hAnsi="仿宋_GB2312" w:eastAsia="仿宋_GB2312"/>
          <w:b/>
          <w:color w:val="000000"/>
          <w:spacing w:val="0"/>
          <w:kern w:val="0"/>
          <w:sz w:val="32"/>
        </w:rPr>
      </w:pPr>
      <w:r>
        <w:rPr>
          <w:rFonts w:hint="eastAsia" w:ascii="仿宋_GB2312" w:hAnsi="仿宋_GB2312" w:eastAsia="仿宋_GB2312"/>
          <w:color w:val="000000"/>
          <w:spacing w:val="0"/>
          <w:kern w:val="0"/>
          <w:sz w:val="32"/>
        </w:rPr>
        <w:t>封禁保护区的具体范围，由自治区人民政府按照国家和自治区防沙治沙规划确定并公布；预防保护区和治理利用区的具体范围，由县级以上人民政府报自治区人民政府批准后公布。</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440" w:firstLineChars="200"/>
        <w:jc w:val="both"/>
        <w:textAlignment w:val="auto"/>
        <w:outlineLvl w:val="9"/>
        <w:rPr>
          <w:rFonts w:hint="eastAsia" w:ascii="仿宋_GB2312" w:hAnsi="仿宋_GB2312" w:eastAsia="仿宋_GB2312"/>
          <w:color w:val="000000"/>
          <w:spacing w:val="0"/>
          <w:kern w:val="0"/>
          <w:sz w:val="32"/>
        </w:rPr>
      </w:pPr>
      <w:r>
        <w:rPr>
          <w:rFonts w:hint="eastAsia" w:ascii="黑体" w:hAnsi="黑体" w:eastAsia="黑体"/>
          <w:color w:val="000000"/>
          <w:spacing w:val="0"/>
          <w:kern w:val="0"/>
          <w:sz w:val="32"/>
        </w:rPr>
        <w:t>第十二条</w:t>
      </w:r>
      <w:r>
        <w:rPr>
          <w:rFonts w:hint="eastAsia" w:ascii="仿宋_GB2312" w:hAnsi="仿宋_GB2312" w:eastAsia="仿宋_GB2312"/>
          <w:b/>
          <w:color w:val="000000"/>
          <w:spacing w:val="0"/>
          <w:kern w:val="0"/>
          <w:sz w:val="32"/>
        </w:rPr>
        <w:t>　</w:t>
      </w:r>
      <w:r>
        <w:rPr>
          <w:rFonts w:hint="eastAsia" w:ascii="仿宋_GB2312" w:hAnsi="仿宋_GB2312" w:eastAsia="仿宋_GB2312"/>
          <w:color w:val="000000"/>
          <w:spacing w:val="0"/>
          <w:kern w:val="0"/>
          <w:sz w:val="32"/>
        </w:rPr>
        <w:t>封禁保护区所在地区县级以上人民政府有关行政管理部门应当在明显位置设立标牌，明示封禁保护区的范围、界限和保护措施。</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440" w:firstLineChars="200"/>
        <w:jc w:val="both"/>
        <w:textAlignment w:val="auto"/>
        <w:outlineLvl w:val="9"/>
        <w:rPr>
          <w:rFonts w:hint="eastAsia" w:ascii="仿宋_GB2312" w:hAnsi="仿宋_GB2312" w:eastAsia="仿宋_GB2312"/>
          <w:color w:val="000000"/>
          <w:spacing w:val="0"/>
          <w:kern w:val="0"/>
          <w:sz w:val="32"/>
        </w:rPr>
      </w:pPr>
      <w:r>
        <w:rPr>
          <w:rFonts w:hint="eastAsia" w:ascii="仿宋_GB2312" w:hAnsi="仿宋_GB2312" w:eastAsia="仿宋_GB2312"/>
          <w:color w:val="000000"/>
          <w:spacing w:val="0"/>
          <w:kern w:val="0"/>
          <w:sz w:val="32"/>
        </w:rPr>
        <w:t>在封禁保护区内，除纳入国家规划进行修建铁路、公路等建设活动外，不得从事生产、建设和其他破坏植被的活动。</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440" w:firstLineChars="200"/>
        <w:jc w:val="both"/>
        <w:textAlignment w:val="auto"/>
        <w:outlineLvl w:val="9"/>
        <w:rPr>
          <w:rFonts w:hint="eastAsia" w:ascii="仿宋_GB2312" w:hAnsi="仿宋_GB2312" w:eastAsia="仿宋_GB2312"/>
          <w:b/>
          <w:color w:val="000000"/>
          <w:spacing w:val="0"/>
          <w:kern w:val="0"/>
          <w:sz w:val="32"/>
        </w:rPr>
      </w:pPr>
      <w:r>
        <w:rPr>
          <w:rFonts w:hint="eastAsia" w:ascii="仿宋_GB2312" w:hAnsi="仿宋_GB2312" w:eastAsia="仿宋_GB2312"/>
          <w:color w:val="000000"/>
          <w:spacing w:val="0"/>
          <w:kern w:val="0"/>
          <w:sz w:val="32"/>
        </w:rPr>
        <w:t>禁止在封禁保护区内安置移民。</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440" w:firstLineChars="200"/>
        <w:jc w:val="both"/>
        <w:textAlignment w:val="auto"/>
        <w:outlineLvl w:val="9"/>
        <w:rPr>
          <w:rFonts w:hint="eastAsia" w:ascii="仿宋_GB2312" w:hAnsi="仿宋_GB2312" w:eastAsia="仿宋_GB2312"/>
          <w:color w:val="000000"/>
          <w:spacing w:val="0"/>
          <w:kern w:val="0"/>
          <w:sz w:val="32"/>
        </w:rPr>
      </w:pPr>
      <w:r>
        <w:rPr>
          <w:rFonts w:hint="eastAsia" w:ascii="黑体" w:hAnsi="黑体" w:eastAsia="黑体"/>
          <w:color w:val="000000"/>
          <w:spacing w:val="0"/>
          <w:kern w:val="0"/>
          <w:sz w:val="32"/>
        </w:rPr>
        <w:t>第十三条</w:t>
      </w:r>
      <w:r>
        <w:rPr>
          <w:rFonts w:hint="eastAsia" w:ascii="仿宋_GB2312" w:hAnsi="仿宋_GB2312" w:eastAsia="仿宋_GB2312"/>
          <w:b/>
          <w:color w:val="000000"/>
          <w:spacing w:val="0"/>
          <w:kern w:val="0"/>
          <w:sz w:val="32"/>
        </w:rPr>
        <w:t>　</w:t>
      </w:r>
      <w:r>
        <w:rPr>
          <w:rFonts w:hint="eastAsia" w:ascii="仿宋_GB2312" w:hAnsi="仿宋_GB2312" w:eastAsia="仿宋_GB2312"/>
          <w:color w:val="000000"/>
          <w:spacing w:val="0"/>
          <w:kern w:val="0"/>
          <w:sz w:val="32"/>
        </w:rPr>
        <w:t>在预防保护区内禁止砍挖林草、放牧、开垦、挖沙、取土等活动。</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440" w:firstLineChars="200"/>
        <w:jc w:val="both"/>
        <w:textAlignment w:val="auto"/>
        <w:outlineLvl w:val="9"/>
        <w:rPr>
          <w:rFonts w:hint="eastAsia" w:ascii="仿宋_GB2312" w:hAnsi="仿宋_GB2312" w:eastAsia="仿宋_GB2312"/>
          <w:color w:val="000000"/>
          <w:spacing w:val="0"/>
          <w:kern w:val="0"/>
          <w:sz w:val="32"/>
        </w:rPr>
      </w:pPr>
      <w:r>
        <w:rPr>
          <w:rFonts w:hint="eastAsia" w:ascii="仿宋_GB2312" w:hAnsi="仿宋_GB2312" w:eastAsia="仿宋_GB2312"/>
          <w:color w:val="000000"/>
          <w:spacing w:val="0"/>
          <w:kern w:val="0"/>
          <w:sz w:val="32"/>
        </w:rPr>
        <w:t>经预防保护区所在地区县级以上人民政府有关行政管理部门批准，可以对预防保护区内林草植被进行抚育、复壮、补植等提高保护区生态功能的活动。</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440" w:firstLineChars="200"/>
        <w:jc w:val="both"/>
        <w:textAlignment w:val="auto"/>
        <w:outlineLvl w:val="9"/>
        <w:rPr>
          <w:rFonts w:hint="eastAsia" w:ascii="仿宋_GB2312" w:hAnsi="仿宋_GB2312" w:eastAsia="仿宋_GB2312"/>
          <w:b/>
          <w:color w:val="000000"/>
          <w:spacing w:val="0"/>
          <w:kern w:val="0"/>
          <w:sz w:val="32"/>
        </w:rPr>
      </w:pPr>
      <w:r>
        <w:rPr>
          <w:rFonts w:hint="eastAsia" w:ascii="仿宋_GB2312" w:hAnsi="仿宋_GB2312" w:eastAsia="仿宋_GB2312"/>
          <w:color w:val="000000"/>
          <w:spacing w:val="0"/>
          <w:kern w:val="0"/>
          <w:sz w:val="32"/>
        </w:rPr>
        <w:t>对预防保护区可以实行阶段性封禁。具体封禁期限、范围由县级以上人民政府确定。</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440" w:firstLineChars="200"/>
        <w:jc w:val="both"/>
        <w:textAlignment w:val="auto"/>
        <w:outlineLvl w:val="9"/>
        <w:rPr>
          <w:rFonts w:hint="eastAsia" w:ascii="仿宋_GB2312" w:hAnsi="仿宋_GB2312" w:eastAsia="仿宋_GB2312"/>
          <w:color w:val="000000"/>
          <w:spacing w:val="0"/>
          <w:kern w:val="0"/>
          <w:sz w:val="32"/>
        </w:rPr>
      </w:pPr>
      <w:r>
        <w:rPr>
          <w:rFonts w:hint="eastAsia" w:ascii="黑体" w:hAnsi="黑体" w:eastAsia="黑体"/>
          <w:color w:val="000000"/>
          <w:spacing w:val="0"/>
          <w:kern w:val="0"/>
          <w:sz w:val="32"/>
        </w:rPr>
        <w:t>第十四条</w:t>
      </w:r>
      <w:r>
        <w:rPr>
          <w:rFonts w:hint="eastAsia" w:ascii="仿宋_GB2312" w:hAnsi="仿宋_GB2312" w:eastAsia="仿宋_GB2312"/>
          <w:b/>
          <w:color w:val="000000"/>
          <w:spacing w:val="0"/>
          <w:kern w:val="0"/>
          <w:sz w:val="32"/>
        </w:rPr>
        <w:t>　</w:t>
      </w:r>
      <w:r>
        <w:rPr>
          <w:rFonts w:hint="eastAsia" w:ascii="仿宋_GB2312" w:hAnsi="仿宋_GB2312" w:eastAsia="仿宋_GB2312"/>
          <w:color w:val="000000"/>
          <w:spacing w:val="0"/>
          <w:kern w:val="0"/>
          <w:sz w:val="32"/>
        </w:rPr>
        <w:t>在治理利用区内禁止砍挖灌木、药材以及其他固沙植物。</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440" w:firstLineChars="200"/>
        <w:jc w:val="left"/>
        <w:textAlignment w:val="auto"/>
        <w:outlineLvl w:val="9"/>
        <w:rPr>
          <w:rFonts w:hint="eastAsia" w:ascii="仿宋_GB2312" w:hAnsi="仿宋_GB2312" w:eastAsia="仿宋_GB2312"/>
          <w:color w:val="000000"/>
          <w:spacing w:val="0"/>
          <w:kern w:val="0"/>
          <w:sz w:val="32"/>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outlineLvl w:val="9"/>
        <w:rPr>
          <w:rFonts w:hint="eastAsia" w:ascii="黑体" w:hAnsi="黑体" w:eastAsia="黑体"/>
          <w:color w:val="000000"/>
          <w:spacing w:val="0"/>
          <w:kern w:val="0"/>
          <w:sz w:val="32"/>
        </w:rPr>
      </w:pPr>
      <w:r>
        <w:rPr>
          <w:rFonts w:hint="eastAsia" w:ascii="黑体" w:hAnsi="黑体" w:eastAsia="黑体"/>
          <w:color w:val="000000"/>
          <w:spacing w:val="0"/>
          <w:kern w:val="0"/>
          <w:sz w:val="32"/>
        </w:rPr>
        <w:t>第三章</w:t>
      </w:r>
      <w:r>
        <w:rPr>
          <w:rFonts w:hint="eastAsia" w:ascii="黑体" w:hAnsi="黑体" w:eastAsia="黑体"/>
          <w:color w:val="000000"/>
          <w:spacing w:val="0"/>
          <w:kern w:val="0"/>
          <w:sz w:val="32"/>
          <w:lang w:val="en-US" w:eastAsia="zh-CN"/>
        </w:rPr>
        <w:t xml:space="preserve">  </w:t>
      </w:r>
      <w:r>
        <w:rPr>
          <w:rFonts w:hint="eastAsia" w:ascii="黑体" w:hAnsi="黑体" w:eastAsia="黑体"/>
          <w:color w:val="000000"/>
          <w:spacing w:val="0"/>
          <w:kern w:val="0"/>
          <w:sz w:val="32"/>
        </w:rPr>
        <w:t>土地沙化预防与监督</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outlineLvl w:val="9"/>
        <w:rPr>
          <w:rFonts w:hint="eastAsia" w:ascii="黑体" w:hAnsi="黑体" w:eastAsia="黑体"/>
          <w:color w:val="000000"/>
          <w:spacing w:val="0"/>
          <w:kern w:val="0"/>
          <w:sz w:val="32"/>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440" w:firstLineChars="200"/>
        <w:jc w:val="both"/>
        <w:textAlignment w:val="auto"/>
        <w:outlineLvl w:val="9"/>
        <w:rPr>
          <w:rFonts w:hint="eastAsia" w:ascii="仿宋_GB2312" w:hAnsi="仿宋_GB2312" w:eastAsia="仿宋_GB2312"/>
          <w:b/>
          <w:color w:val="000000"/>
          <w:spacing w:val="0"/>
          <w:kern w:val="0"/>
          <w:sz w:val="32"/>
        </w:rPr>
      </w:pPr>
      <w:r>
        <w:rPr>
          <w:rFonts w:hint="eastAsia" w:ascii="黑体" w:hAnsi="黑体" w:eastAsia="黑体"/>
          <w:color w:val="000000"/>
          <w:spacing w:val="0"/>
          <w:kern w:val="0"/>
          <w:sz w:val="32"/>
        </w:rPr>
        <w:t>第十五条</w:t>
      </w:r>
      <w:r>
        <w:rPr>
          <w:rFonts w:hint="eastAsia" w:ascii="仿宋_GB2312" w:hAnsi="仿宋_GB2312" w:eastAsia="仿宋_GB2312"/>
          <w:b/>
          <w:color w:val="000000"/>
          <w:spacing w:val="0"/>
          <w:kern w:val="0"/>
          <w:sz w:val="32"/>
        </w:rPr>
        <w:t>　</w:t>
      </w:r>
      <w:r>
        <w:rPr>
          <w:rFonts w:hint="eastAsia" w:ascii="仿宋_GB2312" w:hAnsi="仿宋_GB2312" w:eastAsia="仿宋_GB2312"/>
          <w:color w:val="000000"/>
          <w:spacing w:val="0"/>
          <w:kern w:val="0"/>
          <w:sz w:val="32"/>
        </w:rPr>
        <w:t>县级以上人民政府林业草原管理部门应当定期对沙化土地和土地沙化情况进行监测，并将监测结果报告本级人民政府以及上一级林业草原管理部门。对土地发生沙化或者沙化程度加重的，收到报告的人民政府应当组织有关部门采取有效措施进行治理。</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440" w:firstLineChars="200"/>
        <w:jc w:val="both"/>
        <w:textAlignment w:val="auto"/>
        <w:outlineLvl w:val="9"/>
        <w:rPr>
          <w:rFonts w:hint="eastAsia" w:ascii="仿宋_GB2312" w:hAnsi="仿宋_GB2312" w:eastAsia="仿宋_GB2312"/>
          <w:b/>
          <w:color w:val="000000"/>
          <w:spacing w:val="0"/>
          <w:kern w:val="0"/>
          <w:sz w:val="32"/>
        </w:rPr>
      </w:pPr>
      <w:r>
        <w:rPr>
          <w:rFonts w:hint="eastAsia" w:ascii="黑体" w:hAnsi="黑体" w:eastAsia="黑体"/>
          <w:color w:val="000000"/>
          <w:spacing w:val="0"/>
          <w:kern w:val="0"/>
          <w:sz w:val="32"/>
        </w:rPr>
        <w:t>第十六条</w:t>
      </w:r>
      <w:r>
        <w:rPr>
          <w:rFonts w:hint="eastAsia" w:ascii="仿宋_GB2312" w:hAnsi="仿宋_GB2312" w:eastAsia="仿宋_GB2312"/>
          <w:b/>
          <w:color w:val="000000"/>
          <w:spacing w:val="0"/>
          <w:kern w:val="0"/>
          <w:sz w:val="32"/>
        </w:rPr>
        <w:t>　</w:t>
      </w:r>
      <w:r>
        <w:rPr>
          <w:rFonts w:hint="eastAsia" w:ascii="仿宋_GB2312" w:hAnsi="仿宋_GB2312" w:eastAsia="仿宋_GB2312"/>
          <w:color w:val="000000"/>
          <w:spacing w:val="0"/>
          <w:kern w:val="0"/>
          <w:sz w:val="32"/>
        </w:rPr>
        <w:t>县级以上人民政府不得批准在沙漠边缘地带和林地、草原开垦耕地；已经开垦的，应当纳入防沙治沙规划。</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440" w:firstLineChars="200"/>
        <w:jc w:val="both"/>
        <w:textAlignment w:val="auto"/>
        <w:outlineLvl w:val="9"/>
        <w:rPr>
          <w:rFonts w:hint="eastAsia" w:ascii="仿宋_GB2312" w:hAnsi="仿宋_GB2312" w:eastAsia="仿宋_GB2312"/>
          <w:color w:val="000000"/>
          <w:spacing w:val="0"/>
          <w:kern w:val="0"/>
          <w:sz w:val="32"/>
        </w:rPr>
      </w:pPr>
      <w:r>
        <w:rPr>
          <w:rFonts w:hint="eastAsia" w:ascii="黑体" w:hAnsi="黑体" w:eastAsia="黑体"/>
          <w:color w:val="000000"/>
          <w:spacing w:val="0"/>
          <w:kern w:val="0"/>
          <w:sz w:val="32"/>
        </w:rPr>
        <w:t>第十七条</w:t>
      </w:r>
      <w:r>
        <w:rPr>
          <w:rFonts w:hint="eastAsia" w:ascii="仿宋_GB2312" w:hAnsi="仿宋_GB2312" w:eastAsia="仿宋_GB2312"/>
          <w:b/>
          <w:color w:val="000000"/>
          <w:spacing w:val="0"/>
          <w:kern w:val="0"/>
          <w:sz w:val="32"/>
        </w:rPr>
        <w:t>　</w:t>
      </w:r>
      <w:r>
        <w:rPr>
          <w:rFonts w:hint="eastAsia" w:ascii="仿宋_GB2312" w:hAnsi="仿宋_GB2312" w:eastAsia="仿宋_GB2312"/>
          <w:color w:val="000000"/>
          <w:spacing w:val="0"/>
          <w:kern w:val="0"/>
          <w:sz w:val="32"/>
        </w:rPr>
        <w:t>县级以上人民政府林业草原管理部门应当严格控制防风固沙林网、林带的采伐。除抚育更新性质的采伐外，不得批准对防风固沙林网、林带进行采伐。</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440" w:firstLineChars="200"/>
        <w:jc w:val="both"/>
        <w:textAlignment w:val="auto"/>
        <w:outlineLvl w:val="9"/>
        <w:rPr>
          <w:rFonts w:hint="eastAsia" w:ascii="仿宋_GB2312" w:hAnsi="仿宋_GB2312" w:eastAsia="仿宋_GB2312"/>
          <w:color w:val="000000"/>
          <w:spacing w:val="0"/>
          <w:kern w:val="0"/>
          <w:sz w:val="32"/>
        </w:rPr>
      </w:pPr>
      <w:r>
        <w:rPr>
          <w:rFonts w:hint="eastAsia" w:ascii="仿宋_GB2312" w:hAnsi="仿宋_GB2312" w:eastAsia="仿宋_GB2312"/>
          <w:color w:val="000000"/>
          <w:spacing w:val="0"/>
          <w:kern w:val="0"/>
          <w:sz w:val="32"/>
        </w:rPr>
        <w:t>因林木老化、病虫害等原因确需对防风固沙林网、林带进行抚育更新性质采伐的，应当预先在其附近形成接替林网、林带，报经自治区人民政府林业草原管理部门验收合格后，方可采伐。</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440" w:firstLineChars="200"/>
        <w:jc w:val="both"/>
        <w:textAlignment w:val="auto"/>
        <w:outlineLvl w:val="9"/>
        <w:rPr>
          <w:rFonts w:hint="eastAsia" w:ascii="仿宋_GB2312" w:hAnsi="仿宋_GB2312" w:eastAsia="仿宋_GB2312"/>
          <w:color w:val="000000"/>
          <w:spacing w:val="0"/>
          <w:kern w:val="0"/>
          <w:sz w:val="32"/>
        </w:rPr>
      </w:pPr>
      <w:r>
        <w:rPr>
          <w:rFonts w:hint="eastAsia" w:ascii="仿宋_GB2312" w:hAnsi="仿宋_GB2312" w:eastAsia="仿宋_GB2312"/>
          <w:color w:val="000000"/>
          <w:spacing w:val="0"/>
          <w:kern w:val="0"/>
          <w:sz w:val="32"/>
        </w:rPr>
        <w:t>流动沙地边缘营造的乔木型防风固沙林网、林带，可以进行抚育更新性质的采伐。未达到更新标准的，不得批准采伐。灌木型防风固沙林网、林带应当按照有关规定和技术规程进行平茬抚育。</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440" w:firstLineChars="200"/>
        <w:jc w:val="both"/>
        <w:textAlignment w:val="auto"/>
        <w:outlineLvl w:val="9"/>
        <w:rPr>
          <w:rFonts w:hint="eastAsia" w:ascii="仿宋_GB2312" w:hAnsi="仿宋_GB2312" w:eastAsia="仿宋_GB2312"/>
          <w:b/>
          <w:color w:val="000000"/>
          <w:spacing w:val="0"/>
          <w:kern w:val="0"/>
          <w:sz w:val="32"/>
        </w:rPr>
      </w:pPr>
      <w:r>
        <w:rPr>
          <w:rFonts w:hint="eastAsia" w:ascii="仿宋_GB2312" w:hAnsi="仿宋_GB2312" w:eastAsia="仿宋_GB2312"/>
          <w:color w:val="000000"/>
          <w:spacing w:val="0"/>
          <w:kern w:val="0"/>
          <w:sz w:val="32"/>
        </w:rPr>
        <w:t>对林木更新困难地区已有的防风固沙林网、林带，不得批准采伐。</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440" w:firstLineChars="200"/>
        <w:jc w:val="both"/>
        <w:textAlignment w:val="auto"/>
        <w:outlineLvl w:val="9"/>
        <w:rPr>
          <w:rFonts w:hint="eastAsia" w:ascii="仿宋_GB2312" w:hAnsi="仿宋_GB2312" w:eastAsia="仿宋_GB2312"/>
          <w:color w:val="000000"/>
          <w:spacing w:val="0"/>
          <w:kern w:val="0"/>
          <w:sz w:val="32"/>
        </w:rPr>
      </w:pPr>
      <w:r>
        <w:rPr>
          <w:rFonts w:hint="eastAsia" w:ascii="黑体" w:hAnsi="黑体" w:eastAsia="黑体"/>
          <w:color w:val="000000"/>
          <w:spacing w:val="0"/>
          <w:kern w:val="0"/>
          <w:sz w:val="32"/>
        </w:rPr>
        <w:t>第十八条</w:t>
      </w:r>
      <w:r>
        <w:rPr>
          <w:rFonts w:hint="eastAsia" w:ascii="仿宋_GB2312" w:hAnsi="仿宋_GB2312" w:eastAsia="仿宋_GB2312"/>
          <w:b/>
          <w:color w:val="000000"/>
          <w:spacing w:val="0"/>
          <w:kern w:val="0"/>
          <w:sz w:val="32"/>
        </w:rPr>
        <w:t>　</w:t>
      </w:r>
      <w:r>
        <w:rPr>
          <w:rFonts w:hint="eastAsia" w:ascii="仿宋_GB2312" w:hAnsi="仿宋_GB2312" w:eastAsia="仿宋_GB2312"/>
          <w:color w:val="000000"/>
          <w:spacing w:val="0"/>
          <w:kern w:val="0"/>
          <w:sz w:val="32"/>
        </w:rPr>
        <w:t>各级人民政府应当做好风沙危害区域的草原建设和管理。</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440" w:firstLineChars="200"/>
        <w:jc w:val="both"/>
        <w:textAlignment w:val="auto"/>
        <w:outlineLvl w:val="9"/>
        <w:rPr>
          <w:rFonts w:hint="eastAsia" w:ascii="仿宋_GB2312" w:hAnsi="仿宋_GB2312" w:eastAsia="仿宋_GB2312"/>
          <w:b/>
          <w:color w:val="000000"/>
          <w:spacing w:val="0"/>
          <w:kern w:val="0"/>
          <w:sz w:val="32"/>
        </w:rPr>
      </w:pPr>
      <w:r>
        <w:rPr>
          <w:rFonts w:hint="eastAsia" w:ascii="仿宋_GB2312" w:hAnsi="仿宋_GB2312" w:eastAsia="仿宋_GB2312"/>
          <w:color w:val="000000"/>
          <w:spacing w:val="0"/>
          <w:kern w:val="0"/>
          <w:sz w:val="32"/>
        </w:rPr>
        <w:t>县级以上人民政府林业草原管理部门应当按照草原保护、建设、利用规划和防沙治沙规划开展草地治理，保护草原植被，防止草原退化、沙化。</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440" w:firstLineChars="200"/>
        <w:jc w:val="both"/>
        <w:textAlignment w:val="auto"/>
        <w:outlineLvl w:val="9"/>
        <w:rPr>
          <w:rFonts w:hint="eastAsia" w:ascii="仿宋_GB2312" w:hAnsi="仿宋_GB2312" w:eastAsia="仿宋_GB2312"/>
          <w:b/>
          <w:color w:val="000000"/>
          <w:spacing w:val="0"/>
          <w:kern w:val="0"/>
          <w:sz w:val="32"/>
        </w:rPr>
      </w:pPr>
      <w:r>
        <w:rPr>
          <w:rFonts w:hint="eastAsia" w:ascii="黑体" w:hAnsi="黑体" w:eastAsia="黑体"/>
          <w:color w:val="000000"/>
          <w:spacing w:val="0"/>
          <w:kern w:val="0"/>
          <w:sz w:val="32"/>
        </w:rPr>
        <w:t>第十九条</w:t>
      </w:r>
      <w:r>
        <w:rPr>
          <w:rFonts w:hint="eastAsia" w:ascii="仿宋_GB2312" w:hAnsi="仿宋_GB2312" w:eastAsia="仿宋_GB2312"/>
          <w:b/>
          <w:color w:val="000000"/>
          <w:spacing w:val="0"/>
          <w:kern w:val="0"/>
          <w:sz w:val="32"/>
        </w:rPr>
        <w:t>　</w:t>
      </w:r>
      <w:r>
        <w:rPr>
          <w:rFonts w:hint="eastAsia" w:ascii="仿宋_GB2312" w:hAnsi="仿宋_GB2312" w:eastAsia="仿宋_GB2312"/>
          <w:color w:val="000000"/>
          <w:spacing w:val="0"/>
          <w:kern w:val="0"/>
          <w:sz w:val="32"/>
        </w:rPr>
        <w:t>县级以上人民政府林业草原、农业农村等部门应当做好苗木品种选择和苗木病、虫害检疫，加强对林草有害生物的监测预警、调查和防治工作。</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440" w:firstLineChars="200"/>
        <w:jc w:val="both"/>
        <w:textAlignment w:val="auto"/>
        <w:outlineLvl w:val="9"/>
        <w:rPr>
          <w:rFonts w:hint="eastAsia" w:ascii="仿宋_GB2312" w:hAnsi="仿宋_GB2312" w:eastAsia="仿宋_GB2312"/>
          <w:b/>
          <w:color w:val="000000"/>
          <w:spacing w:val="0"/>
          <w:kern w:val="0"/>
          <w:sz w:val="32"/>
        </w:rPr>
      </w:pPr>
      <w:r>
        <w:rPr>
          <w:rFonts w:hint="eastAsia" w:ascii="黑体" w:hAnsi="黑体" w:eastAsia="黑体"/>
          <w:color w:val="000000"/>
          <w:spacing w:val="0"/>
          <w:kern w:val="0"/>
          <w:sz w:val="32"/>
        </w:rPr>
        <w:t>第二十条</w:t>
      </w:r>
      <w:r>
        <w:rPr>
          <w:rFonts w:hint="eastAsia" w:ascii="仿宋_GB2312" w:hAnsi="仿宋_GB2312" w:eastAsia="仿宋_GB2312"/>
          <w:b/>
          <w:color w:val="000000"/>
          <w:spacing w:val="0"/>
          <w:kern w:val="0"/>
          <w:sz w:val="32"/>
        </w:rPr>
        <w:t>　</w:t>
      </w:r>
      <w:r>
        <w:rPr>
          <w:rFonts w:hint="eastAsia" w:ascii="仿宋_GB2312" w:hAnsi="仿宋_GB2312" w:eastAsia="仿宋_GB2312"/>
          <w:color w:val="000000"/>
          <w:spacing w:val="0"/>
          <w:kern w:val="0"/>
          <w:sz w:val="32"/>
        </w:rPr>
        <w:t>各级人民政府应当鼓励发展替代燃料，开发利用沼气、风能、太阳能等能源,逐步改变沙化土地所在地区依赖植被资源生产、生活的方式。</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440" w:firstLineChars="200"/>
        <w:jc w:val="both"/>
        <w:textAlignment w:val="auto"/>
        <w:outlineLvl w:val="9"/>
        <w:rPr>
          <w:rFonts w:hint="eastAsia" w:ascii="仿宋_GB2312" w:hAnsi="仿宋_GB2312" w:eastAsia="仿宋_GB2312"/>
          <w:b/>
          <w:color w:val="000000"/>
          <w:spacing w:val="0"/>
          <w:kern w:val="0"/>
          <w:sz w:val="32"/>
        </w:rPr>
      </w:pPr>
      <w:r>
        <w:rPr>
          <w:rFonts w:hint="eastAsia" w:ascii="黑体" w:hAnsi="黑体" w:eastAsia="黑体"/>
          <w:color w:val="000000"/>
          <w:spacing w:val="0"/>
          <w:kern w:val="0"/>
          <w:sz w:val="32"/>
        </w:rPr>
        <w:t>第二十一条</w:t>
      </w:r>
      <w:r>
        <w:rPr>
          <w:rFonts w:hint="eastAsia" w:ascii="仿宋_GB2312" w:hAnsi="仿宋_GB2312" w:eastAsia="仿宋_GB2312"/>
          <w:b/>
          <w:color w:val="000000"/>
          <w:spacing w:val="0"/>
          <w:kern w:val="0"/>
          <w:sz w:val="32"/>
        </w:rPr>
        <w:t>　</w:t>
      </w:r>
      <w:r>
        <w:rPr>
          <w:rFonts w:hint="eastAsia" w:ascii="仿宋_GB2312" w:hAnsi="仿宋_GB2312" w:eastAsia="仿宋_GB2312"/>
          <w:color w:val="000000"/>
          <w:spacing w:val="0"/>
          <w:kern w:val="0"/>
          <w:sz w:val="32"/>
        </w:rPr>
        <w:t>在不适合人居和开展生产经营活动的沙化土地范围内，县级以上人民政府应当按照有关规定组织生态移民，进行治理或者封禁保护。</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440" w:firstLineChars="200"/>
        <w:jc w:val="both"/>
        <w:textAlignment w:val="auto"/>
        <w:outlineLvl w:val="9"/>
        <w:rPr>
          <w:rFonts w:hint="eastAsia" w:ascii="仿宋_GB2312" w:hAnsi="仿宋_GB2312" w:eastAsia="仿宋_GB2312"/>
          <w:b/>
          <w:color w:val="000000"/>
          <w:spacing w:val="0"/>
          <w:kern w:val="0"/>
          <w:sz w:val="32"/>
        </w:rPr>
      </w:pPr>
      <w:r>
        <w:rPr>
          <w:rFonts w:hint="eastAsia" w:ascii="黑体" w:hAnsi="黑体" w:eastAsia="黑体"/>
          <w:color w:val="000000"/>
          <w:spacing w:val="0"/>
          <w:kern w:val="0"/>
          <w:sz w:val="32"/>
        </w:rPr>
        <w:t>第二十二条</w:t>
      </w:r>
      <w:r>
        <w:rPr>
          <w:rFonts w:hint="eastAsia" w:ascii="仿宋_GB2312" w:hAnsi="仿宋_GB2312" w:eastAsia="仿宋_GB2312"/>
          <w:b/>
          <w:color w:val="000000"/>
          <w:spacing w:val="0"/>
          <w:kern w:val="0"/>
          <w:sz w:val="32"/>
        </w:rPr>
        <w:t>　</w:t>
      </w:r>
      <w:r>
        <w:rPr>
          <w:rFonts w:hint="eastAsia" w:ascii="仿宋_GB2312" w:hAnsi="仿宋_GB2312" w:eastAsia="仿宋_GB2312"/>
          <w:color w:val="000000"/>
          <w:spacing w:val="0"/>
          <w:kern w:val="0"/>
          <w:sz w:val="32"/>
        </w:rPr>
        <w:t>在沙化土地范围内从事油气勘探开发以及矿产资源开采的，应当采取生态环境保护措施，防止地下水水位下降、地表塌陷和植被退化。县级以上人民政府林业草原、农业农村、水利、自然资源、生态环境等有关部门应当对开发和开采单位的生态环境保护以及地表植被恢复情况进行监督检查。</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440" w:firstLineChars="200"/>
        <w:jc w:val="both"/>
        <w:textAlignment w:val="auto"/>
        <w:outlineLvl w:val="9"/>
        <w:rPr>
          <w:rFonts w:hint="eastAsia" w:ascii="仿宋_GB2312" w:hAnsi="仿宋_GB2312" w:eastAsia="仿宋_GB2312"/>
          <w:color w:val="000000"/>
          <w:spacing w:val="0"/>
          <w:kern w:val="0"/>
          <w:sz w:val="32"/>
        </w:rPr>
      </w:pPr>
      <w:r>
        <w:rPr>
          <w:rFonts w:hint="eastAsia" w:ascii="黑体" w:hAnsi="黑体" w:eastAsia="黑体"/>
          <w:color w:val="000000"/>
          <w:spacing w:val="0"/>
          <w:kern w:val="0"/>
          <w:sz w:val="32"/>
        </w:rPr>
        <w:t>第二十三条</w:t>
      </w:r>
      <w:r>
        <w:rPr>
          <w:rFonts w:hint="eastAsia" w:ascii="仿宋_GB2312" w:hAnsi="仿宋_GB2312" w:eastAsia="仿宋_GB2312"/>
          <w:b/>
          <w:color w:val="000000"/>
          <w:spacing w:val="0"/>
          <w:kern w:val="0"/>
          <w:sz w:val="32"/>
        </w:rPr>
        <w:t>　</w:t>
      </w:r>
      <w:r>
        <w:rPr>
          <w:rFonts w:hint="eastAsia" w:ascii="仿宋_GB2312" w:hAnsi="仿宋_GB2312" w:eastAsia="仿宋_GB2312"/>
          <w:color w:val="000000"/>
          <w:spacing w:val="0"/>
          <w:kern w:val="0"/>
          <w:sz w:val="32"/>
        </w:rPr>
        <w:t>在沙化土地范围内从事开发建设活动的，应当依法进行环境影响评价和水资源论证，并将防沙治沙工程设施建设和生态保护措施的实施纳入开发建设项目。对可能造成水土流失、土地沙化、破坏生态环境的开发建设项目，不得批准立项。</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440" w:firstLineChars="200"/>
        <w:jc w:val="left"/>
        <w:textAlignment w:val="auto"/>
        <w:outlineLvl w:val="9"/>
        <w:rPr>
          <w:rFonts w:hint="eastAsia" w:ascii="仿宋_GB2312" w:hAnsi="仿宋_GB2312" w:eastAsia="仿宋_GB2312"/>
          <w:color w:val="000000"/>
          <w:spacing w:val="0"/>
          <w:kern w:val="0"/>
          <w:sz w:val="32"/>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olor w:val="000000"/>
          <w:spacing w:val="0"/>
          <w:kern w:val="0"/>
          <w:sz w:val="32"/>
        </w:rPr>
      </w:pPr>
      <w:r>
        <w:rPr>
          <w:rFonts w:hint="eastAsia" w:ascii="黑体" w:hAnsi="黑体" w:eastAsia="黑体"/>
          <w:color w:val="000000"/>
          <w:spacing w:val="0"/>
          <w:kern w:val="0"/>
          <w:sz w:val="32"/>
        </w:rPr>
        <w:t>第四章　沙化土地治理与利用</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440" w:firstLineChars="200"/>
        <w:jc w:val="left"/>
        <w:textAlignment w:val="auto"/>
        <w:outlineLvl w:val="9"/>
        <w:rPr>
          <w:rFonts w:hint="eastAsia" w:ascii="黑体" w:hAnsi="黑体" w:eastAsia="黑体"/>
          <w:color w:val="000000"/>
          <w:spacing w:val="0"/>
          <w:kern w:val="0"/>
          <w:sz w:val="32"/>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440" w:firstLineChars="200"/>
        <w:jc w:val="both"/>
        <w:textAlignment w:val="auto"/>
        <w:outlineLvl w:val="9"/>
        <w:rPr>
          <w:rFonts w:hint="eastAsia" w:ascii="仿宋_GB2312" w:hAnsi="仿宋_GB2312" w:eastAsia="仿宋_GB2312"/>
          <w:color w:val="000000"/>
          <w:spacing w:val="0"/>
          <w:kern w:val="0"/>
          <w:sz w:val="32"/>
        </w:rPr>
      </w:pPr>
      <w:r>
        <w:rPr>
          <w:rFonts w:hint="eastAsia" w:ascii="黑体" w:hAnsi="黑体" w:eastAsia="黑体"/>
          <w:color w:val="000000"/>
          <w:spacing w:val="0"/>
          <w:kern w:val="0"/>
          <w:sz w:val="32"/>
        </w:rPr>
        <w:t>第二十四条</w:t>
      </w:r>
      <w:r>
        <w:rPr>
          <w:rFonts w:hint="eastAsia" w:ascii="仿宋_GB2312" w:hAnsi="仿宋_GB2312" w:eastAsia="仿宋_GB2312"/>
          <w:b/>
          <w:color w:val="000000"/>
          <w:spacing w:val="0"/>
          <w:kern w:val="0"/>
          <w:sz w:val="32"/>
        </w:rPr>
        <w:t>　</w:t>
      </w:r>
      <w:r>
        <w:rPr>
          <w:rFonts w:hint="eastAsia" w:ascii="仿宋_GB2312" w:hAnsi="仿宋_GB2312" w:eastAsia="仿宋_GB2312"/>
          <w:color w:val="000000"/>
          <w:spacing w:val="0"/>
          <w:kern w:val="0"/>
          <w:sz w:val="32"/>
        </w:rPr>
        <w:t>治理沙化土地应当坚持生物措施与工程措施相结合，因地制宜地采取退耕还林、退牧还草、封沙育林育草、建设防护林、保护湿地、小流域综合治理以及合理调配生态用水等措施，恢复和增加植被。</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440" w:firstLineChars="200"/>
        <w:jc w:val="both"/>
        <w:textAlignment w:val="auto"/>
        <w:outlineLvl w:val="9"/>
        <w:rPr>
          <w:rFonts w:hint="eastAsia" w:ascii="仿宋_GB2312" w:hAnsi="仿宋_GB2312" w:eastAsia="仿宋_GB2312"/>
          <w:b/>
          <w:color w:val="000000"/>
          <w:spacing w:val="0"/>
          <w:kern w:val="0"/>
          <w:sz w:val="32"/>
        </w:rPr>
      </w:pPr>
      <w:r>
        <w:rPr>
          <w:rFonts w:hint="eastAsia" w:ascii="仿宋_GB2312" w:hAnsi="仿宋_GB2312" w:eastAsia="仿宋_GB2312"/>
          <w:color w:val="000000"/>
          <w:spacing w:val="0"/>
          <w:kern w:val="0"/>
          <w:sz w:val="32"/>
        </w:rPr>
        <w:t>治理沙化土地以植树造林为主要措施的，县级以上人民政府应当鼓励和支持营造经济林，发展生态经济型林业。</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440" w:firstLineChars="200"/>
        <w:jc w:val="both"/>
        <w:textAlignment w:val="auto"/>
        <w:outlineLvl w:val="9"/>
        <w:rPr>
          <w:rFonts w:hint="eastAsia" w:ascii="仿宋_GB2312" w:hAnsi="仿宋_GB2312" w:eastAsia="仿宋_GB2312"/>
          <w:b/>
          <w:color w:val="000000"/>
          <w:spacing w:val="0"/>
          <w:kern w:val="0"/>
          <w:sz w:val="32"/>
        </w:rPr>
      </w:pPr>
      <w:r>
        <w:rPr>
          <w:rFonts w:hint="eastAsia" w:ascii="黑体" w:hAnsi="黑体" w:eastAsia="黑体"/>
          <w:color w:val="000000"/>
          <w:spacing w:val="0"/>
          <w:kern w:val="0"/>
          <w:sz w:val="32"/>
        </w:rPr>
        <w:t>第二十五条</w:t>
      </w:r>
      <w:r>
        <w:rPr>
          <w:rFonts w:hint="eastAsia" w:ascii="仿宋_GB2312" w:hAnsi="仿宋_GB2312" w:eastAsia="仿宋_GB2312"/>
          <w:b/>
          <w:color w:val="000000"/>
          <w:spacing w:val="0"/>
          <w:kern w:val="0"/>
          <w:sz w:val="32"/>
        </w:rPr>
        <w:t>　</w:t>
      </w:r>
      <w:r>
        <w:rPr>
          <w:rFonts w:hint="eastAsia" w:ascii="仿宋_GB2312" w:hAnsi="仿宋_GB2312" w:eastAsia="仿宋_GB2312"/>
          <w:color w:val="000000"/>
          <w:spacing w:val="0"/>
          <w:kern w:val="0"/>
          <w:sz w:val="32"/>
        </w:rPr>
        <w:t>县级以上人民政府应当合理配置水资源，推广、利用节水技术，建设配套水源工程和小型蓄水节水设施，提高水资源利用率，保障沙化土地所在地区的生态用水。</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440" w:firstLineChars="200"/>
        <w:jc w:val="both"/>
        <w:textAlignment w:val="auto"/>
        <w:outlineLvl w:val="9"/>
        <w:rPr>
          <w:rFonts w:hint="eastAsia" w:ascii="仿宋_GB2312" w:hAnsi="仿宋_GB2312" w:eastAsia="仿宋_GB2312"/>
          <w:color w:val="000000"/>
          <w:spacing w:val="0"/>
          <w:kern w:val="0"/>
          <w:sz w:val="32"/>
        </w:rPr>
      </w:pPr>
      <w:r>
        <w:rPr>
          <w:rFonts w:hint="eastAsia" w:ascii="黑体" w:hAnsi="黑体" w:eastAsia="黑体"/>
          <w:color w:val="000000"/>
          <w:spacing w:val="0"/>
          <w:kern w:val="0"/>
          <w:sz w:val="32"/>
        </w:rPr>
        <w:t>第二十六条</w:t>
      </w:r>
      <w:r>
        <w:rPr>
          <w:rFonts w:hint="eastAsia" w:ascii="仿宋_GB2312" w:hAnsi="仿宋_GB2312" w:eastAsia="仿宋_GB2312"/>
          <w:b/>
          <w:color w:val="000000"/>
          <w:spacing w:val="0"/>
          <w:kern w:val="0"/>
          <w:sz w:val="32"/>
        </w:rPr>
        <w:t>　</w:t>
      </w:r>
      <w:r>
        <w:rPr>
          <w:rFonts w:hint="eastAsia" w:ascii="仿宋_GB2312" w:hAnsi="仿宋_GB2312" w:eastAsia="仿宋_GB2312"/>
          <w:color w:val="000000"/>
          <w:spacing w:val="0"/>
          <w:kern w:val="0"/>
          <w:sz w:val="32"/>
        </w:rPr>
        <w:t>已经沙化的耕地，应当根据土地沙化程度，推广免耕技术、种植多年生经济作物等生态治理措施。</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440" w:firstLineChars="200"/>
        <w:jc w:val="both"/>
        <w:textAlignment w:val="auto"/>
        <w:outlineLvl w:val="9"/>
        <w:rPr>
          <w:rFonts w:hint="eastAsia" w:ascii="仿宋_GB2312" w:hAnsi="仿宋_GB2312" w:eastAsia="仿宋_GB2312"/>
          <w:b/>
          <w:color w:val="000000"/>
          <w:spacing w:val="0"/>
          <w:kern w:val="0"/>
          <w:sz w:val="32"/>
        </w:rPr>
      </w:pPr>
      <w:r>
        <w:rPr>
          <w:rFonts w:hint="eastAsia" w:ascii="仿宋_GB2312" w:hAnsi="仿宋_GB2312" w:eastAsia="仿宋_GB2312"/>
          <w:color w:val="000000"/>
          <w:spacing w:val="0"/>
          <w:kern w:val="0"/>
          <w:sz w:val="32"/>
        </w:rPr>
        <w:t>沙化耕地的具体范围由自治区人民政府组织林业草原、自然资源、农业农村、生态环境等有关部门确定。</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440" w:firstLineChars="200"/>
        <w:jc w:val="both"/>
        <w:textAlignment w:val="auto"/>
        <w:outlineLvl w:val="9"/>
        <w:rPr>
          <w:rFonts w:hint="eastAsia" w:ascii="仿宋_GB2312" w:hAnsi="仿宋_GB2312" w:eastAsia="仿宋_GB2312"/>
          <w:color w:val="000000"/>
          <w:spacing w:val="0"/>
          <w:kern w:val="0"/>
          <w:sz w:val="32"/>
        </w:rPr>
      </w:pPr>
      <w:r>
        <w:rPr>
          <w:rFonts w:hint="eastAsia" w:ascii="黑体" w:hAnsi="黑体" w:eastAsia="黑体"/>
          <w:color w:val="000000"/>
          <w:spacing w:val="0"/>
          <w:kern w:val="0"/>
          <w:sz w:val="32"/>
        </w:rPr>
        <w:t>第二十七条</w:t>
      </w:r>
      <w:r>
        <w:rPr>
          <w:rFonts w:hint="eastAsia" w:ascii="仿宋_GB2312" w:hAnsi="仿宋_GB2312" w:eastAsia="仿宋_GB2312"/>
          <w:b/>
          <w:color w:val="000000"/>
          <w:spacing w:val="0"/>
          <w:kern w:val="0"/>
          <w:sz w:val="32"/>
        </w:rPr>
        <w:t>　</w:t>
      </w:r>
      <w:r>
        <w:rPr>
          <w:rFonts w:hint="eastAsia" w:ascii="仿宋_GB2312" w:hAnsi="仿宋_GB2312" w:eastAsia="仿宋_GB2312"/>
          <w:color w:val="000000"/>
          <w:spacing w:val="0"/>
          <w:kern w:val="0"/>
          <w:sz w:val="32"/>
        </w:rPr>
        <w:t>城镇、村庄、厂矿、部队营区、国防工业基地、农牧渔场经营区、水库周围和铁路、公路、河流、水渠两侧的沙化土地，实行单位治理责任制。</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440" w:firstLineChars="200"/>
        <w:jc w:val="both"/>
        <w:textAlignment w:val="auto"/>
        <w:outlineLvl w:val="9"/>
        <w:rPr>
          <w:rFonts w:hint="eastAsia" w:ascii="仿宋_GB2312" w:hAnsi="仿宋_GB2312" w:eastAsia="仿宋_GB2312"/>
          <w:b/>
          <w:color w:val="000000"/>
          <w:spacing w:val="0"/>
          <w:kern w:val="0"/>
          <w:sz w:val="32"/>
        </w:rPr>
      </w:pPr>
      <w:r>
        <w:rPr>
          <w:rFonts w:hint="eastAsia" w:ascii="仿宋_GB2312" w:hAnsi="仿宋_GB2312" w:eastAsia="仿宋_GB2312"/>
          <w:color w:val="000000"/>
          <w:spacing w:val="0"/>
          <w:kern w:val="0"/>
          <w:sz w:val="32"/>
        </w:rPr>
        <w:t>县级以上人民政府及其林业草原管理部门应当对治理责任的落实情况进行监督检查。</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440" w:firstLineChars="200"/>
        <w:jc w:val="both"/>
        <w:textAlignment w:val="auto"/>
        <w:outlineLvl w:val="9"/>
        <w:rPr>
          <w:rFonts w:hint="eastAsia" w:ascii="仿宋_GB2312" w:hAnsi="仿宋_GB2312" w:eastAsia="仿宋_GB2312"/>
          <w:color w:val="000000"/>
          <w:spacing w:val="0"/>
          <w:kern w:val="0"/>
          <w:sz w:val="32"/>
        </w:rPr>
      </w:pPr>
      <w:r>
        <w:rPr>
          <w:rFonts w:hint="eastAsia" w:ascii="黑体" w:hAnsi="黑体" w:eastAsia="黑体"/>
          <w:color w:val="000000"/>
          <w:spacing w:val="0"/>
          <w:kern w:val="0"/>
          <w:sz w:val="32"/>
        </w:rPr>
        <w:t>第二十八条</w:t>
      </w:r>
      <w:r>
        <w:rPr>
          <w:rFonts w:hint="eastAsia" w:ascii="仿宋_GB2312" w:hAnsi="仿宋_GB2312" w:eastAsia="仿宋_GB2312"/>
          <w:b/>
          <w:color w:val="000000"/>
          <w:spacing w:val="0"/>
          <w:kern w:val="0"/>
          <w:sz w:val="32"/>
        </w:rPr>
        <w:t>　</w:t>
      </w:r>
      <w:r>
        <w:rPr>
          <w:rFonts w:hint="eastAsia" w:ascii="仿宋_GB2312" w:hAnsi="仿宋_GB2312" w:eastAsia="仿宋_GB2312"/>
          <w:color w:val="000000"/>
          <w:spacing w:val="0"/>
          <w:kern w:val="0"/>
          <w:sz w:val="32"/>
        </w:rPr>
        <w:t>各级人民政府鼓励和支持单位、个人在自愿的前提下，以捐资、投入劳动、合作等形式开展公益性治沙活动。</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440" w:firstLineChars="200"/>
        <w:jc w:val="both"/>
        <w:textAlignment w:val="auto"/>
        <w:outlineLvl w:val="9"/>
        <w:rPr>
          <w:rFonts w:hint="eastAsia" w:ascii="仿宋_GB2312" w:hAnsi="仿宋_GB2312" w:eastAsia="仿宋_GB2312"/>
          <w:b/>
          <w:color w:val="000000"/>
          <w:spacing w:val="0"/>
          <w:kern w:val="0"/>
          <w:sz w:val="32"/>
        </w:rPr>
      </w:pPr>
      <w:r>
        <w:rPr>
          <w:rFonts w:hint="eastAsia" w:ascii="仿宋_GB2312" w:hAnsi="仿宋_GB2312" w:eastAsia="仿宋_GB2312"/>
          <w:color w:val="000000"/>
          <w:spacing w:val="0"/>
          <w:kern w:val="0"/>
          <w:sz w:val="32"/>
        </w:rPr>
        <w:t>单位和个人在沙化土地上植树种草、造林绿化，享受国家和自治区造林绿化资金补助等优惠。</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440" w:firstLineChars="200"/>
        <w:jc w:val="both"/>
        <w:textAlignment w:val="auto"/>
        <w:outlineLvl w:val="9"/>
        <w:rPr>
          <w:rFonts w:hint="eastAsia" w:ascii="仿宋_GB2312" w:hAnsi="仿宋_GB2312" w:eastAsia="仿宋_GB2312"/>
          <w:color w:val="000000"/>
          <w:spacing w:val="0"/>
          <w:kern w:val="0"/>
          <w:sz w:val="32"/>
        </w:rPr>
      </w:pPr>
      <w:r>
        <w:rPr>
          <w:rFonts w:hint="eastAsia" w:ascii="黑体" w:hAnsi="黑体" w:eastAsia="黑体"/>
          <w:color w:val="000000"/>
          <w:spacing w:val="0"/>
          <w:kern w:val="0"/>
          <w:sz w:val="32"/>
        </w:rPr>
        <w:t>第二十九条</w:t>
      </w:r>
      <w:r>
        <w:rPr>
          <w:rFonts w:hint="eastAsia" w:ascii="仿宋_GB2312" w:hAnsi="仿宋_GB2312" w:eastAsia="仿宋_GB2312"/>
          <w:b/>
          <w:color w:val="000000"/>
          <w:spacing w:val="0"/>
          <w:kern w:val="0"/>
          <w:sz w:val="32"/>
        </w:rPr>
        <w:t>　</w:t>
      </w:r>
      <w:r>
        <w:rPr>
          <w:rFonts w:hint="eastAsia" w:ascii="仿宋_GB2312" w:hAnsi="仿宋_GB2312" w:eastAsia="仿宋_GB2312"/>
          <w:color w:val="000000"/>
          <w:spacing w:val="0"/>
          <w:kern w:val="0"/>
          <w:sz w:val="32"/>
        </w:rPr>
        <w:t>县级以上人民政府应当加强公益性治沙技术推广服务体系的建设。</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440" w:firstLineChars="200"/>
        <w:jc w:val="both"/>
        <w:textAlignment w:val="auto"/>
        <w:outlineLvl w:val="9"/>
        <w:rPr>
          <w:rFonts w:hint="eastAsia" w:ascii="仿宋_GB2312" w:hAnsi="仿宋_GB2312" w:eastAsia="仿宋_GB2312"/>
          <w:color w:val="000000"/>
          <w:spacing w:val="0"/>
          <w:kern w:val="0"/>
          <w:sz w:val="32"/>
        </w:rPr>
      </w:pPr>
      <w:r>
        <w:rPr>
          <w:rFonts w:hint="eastAsia" w:ascii="仿宋_GB2312" w:hAnsi="仿宋_GB2312" w:eastAsia="仿宋_GB2312"/>
          <w:color w:val="000000"/>
          <w:spacing w:val="0"/>
          <w:kern w:val="0"/>
          <w:sz w:val="32"/>
        </w:rPr>
        <w:t>林业草原、农业农村、水利、生态环境等有关部门应当为公益性治沙活动提供治理地点和无偿技术指导。</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440" w:firstLineChars="200"/>
        <w:jc w:val="both"/>
        <w:textAlignment w:val="auto"/>
        <w:outlineLvl w:val="9"/>
        <w:rPr>
          <w:rFonts w:hint="eastAsia" w:ascii="仿宋_GB2312" w:hAnsi="仿宋_GB2312" w:eastAsia="仿宋_GB2312"/>
          <w:b/>
          <w:color w:val="000000"/>
          <w:spacing w:val="0"/>
          <w:kern w:val="0"/>
          <w:sz w:val="32"/>
        </w:rPr>
      </w:pPr>
      <w:r>
        <w:rPr>
          <w:rFonts w:hint="eastAsia" w:ascii="仿宋_GB2312" w:hAnsi="仿宋_GB2312" w:eastAsia="仿宋_GB2312"/>
          <w:color w:val="000000"/>
          <w:spacing w:val="0"/>
          <w:kern w:val="0"/>
          <w:sz w:val="32"/>
        </w:rPr>
        <w:t>从事公益性治沙活动的单位和个人，应当按照治沙技术要求进行治理。</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440" w:firstLineChars="200"/>
        <w:jc w:val="both"/>
        <w:textAlignment w:val="auto"/>
        <w:outlineLvl w:val="9"/>
        <w:rPr>
          <w:rFonts w:hint="eastAsia" w:ascii="仿宋_GB2312" w:hAnsi="仿宋_GB2312" w:eastAsia="仿宋_GB2312"/>
          <w:color w:val="000000"/>
          <w:spacing w:val="0"/>
          <w:kern w:val="0"/>
          <w:sz w:val="32"/>
        </w:rPr>
      </w:pPr>
      <w:r>
        <w:rPr>
          <w:rFonts w:hint="eastAsia" w:ascii="黑体" w:hAnsi="黑体" w:eastAsia="黑体"/>
          <w:color w:val="000000"/>
          <w:spacing w:val="0"/>
          <w:kern w:val="0"/>
          <w:sz w:val="32"/>
        </w:rPr>
        <w:t>第三十条</w:t>
      </w:r>
      <w:r>
        <w:rPr>
          <w:rFonts w:hint="eastAsia" w:ascii="仿宋_GB2312" w:hAnsi="仿宋_GB2312" w:eastAsia="仿宋_GB2312"/>
          <w:b/>
          <w:color w:val="000000"/>
          <w:spacing w:val="0"/>
          <w:kern w:val="0"/>
          <w:sz w:val="32"/>
        </w:rPr>
        <w:t>　</w:t>
      </w:r>
      <w:r>
        <w:rPr>
          <w:rFonts w:hint="eastAsia" w:ascii="仿宋_GB2312" w:hAnsi="仿宋_GB2312" w:eastAsia="仿宋_GB2312"/>
          <w:color w:val="000000"/>
          <w:spacing w:val="0"/>
          <w:kern w:val="0"/>
          <w:sz w:val="32"/>
        </w:rPr>
        <w:t>单位和个人投资进行治沙的，在投资阶段依法免征有关税收；取得一定收益后，可以依法免征或者减征有关税收。</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440" w:firstLineChars="200"/>
        <w:jc w:val="both"/>
        <w:textAlignment w:val="auto"/>
        <w:outlineLvl w:val="9"/>
        <w:rPr>
          <w:rFonts w:hint="eastAsia" w:ascii="仿宋_GB2312" w:hAnsi="仿宋_GB2312" w:eastAsia="仿宋_GB2312"/>
          <w:b/>
          <w:color w:val="000000"/>
          <w:spacing w:val="0"/>
          <w:kern w:val="0"/>
          <w:sz w:val="32"/>
        </w:rPr>
      </w:pPr>
      <w:r>
        <w:rPr>
          <w:rFonts w:hint="eastAsia" w:ascii="仿宋_GB2312" w:hAnsi="仿宋_GB2312" w:eastAsia="仿宋_GB2312"/>
          <w:color w:val="000000"/>
          <w:spacing w:val="0"/>
          <w:kern w:val="0"/>
          <w:sz w:val="32"/>
        </w:rPr>
        <w:t>农村集体经济组织及其成员对已经沙化的土地进行集中治理投入的资金和劳力，可以折算为治理项目的股份、资本金，也可以采取其他形式给予补偿。</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440" w:firstLineChars="200"/>
        <w:jc w:val="both"/>
        <w:textAlignment w:val="auto"/>
        <w:outlineLvl w:val="9"/>
        <w:rPr>
          <w:rFonts w:hint="eastAsia" w:ascii="仿宋_GB2312" w:hAnsi="仿宋_GB2312" w:eastAsia="仿宋_GB2312"/>
          <w:color w:val="000000"/>
          <w:spacing w:val="0"/>
          <w:kern w:val="0"/>
          <w:sz w:val="32"/>
        </w:rPr>
      </w:pPr>
      <w:r>
        <w:rPr>
          <w:rFonts w:hint="eastAsia" w:ascii="黑体" w:hAnsi="黑体" w:eastAsia="黑体"/>
          <w:color w:val="000000"/>
          <w:spacing w:val="0"/>
          <w:kern w:val="0"/>
          <w:sz w:val="32"/>
        </w:rPr>
        <w:t>第三十一条</w:t>
      </w:r>
      <w:r>
        <w:rPr>
          <w:rFonts w:hint="eastAsia" w:ascii="仿宋_GB2312" w:hAnsi="仿宋_GB2312" w:eastAsia="仿宋_GB2312"/>
          <w:b/>
          <w:color w:val="000000"/>
          <w:spacing w:val="0"/>
          <w:kern w:val="0"/>
          <w:sz w:val="32"/>
        </w:rPr>
        <w:t>　</w:t>
      </w:r>
      <w:r>
        <w:rPr>
          <w:rFonts w:hint="eastAsia" w:ascii="仿宋_GB2312" w:hAnsi="仿宋_GB2312" w:eastAsia="仿宋_GB2312"/>
          <w:color w:val="000000"/>
          <w:spacing w:val="0"/>
          <w:kern w:val="0"/>
          <w:sz w:val="32"/>
        </w:rPr>
        <w:t>从事营利性治沙活动的单位和个人，应当依法取得沙化土地使用权，并签订治理协议，按照批准的治理方案进行治理。</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440" w:firstLineChars="200"/>
        <w:jc w:val="both"/>
        <w:textAlignment w:val="auto"/>
        <w:outlineLvl w:val="9"/>
        <w:rPr>
          <w:rFonts w:hint="eastAsia" w:ascii="仿宋_GB2312" w:hAnsi="仿宋_GB2312" w:eastAsia="仿宋_GB2312"/>
          <w:color w:val="000000"/>
          <w:spacing w:val="0"/>
          <w:kern w:val="0"/>
          <w:sz w:val="32"/>
        </w:rPr>
      </w:pPr>
      <w:r>
        <w:rPr>
          <w:rFonts w:hint="eastAsia" w:ascii="仿宋_GB2312" w:hAnsi="仿宋_GB2312" w:eastAsia="仿宋_GB2312"/>
          <w:color w:val="000000"/>
          <w:spacing w:val="0"/>
          <w:kern w:val="0"/>
          <w:sz w:val="32"/>
        </w:rPr>
        <w:t>从事营利性治沙的单位和个人在治理任务完成后，应当向县级以上人民政府有关行政管理部门提出验收申请。经验收合格的，有关行政管理部门应当发给治理合格的证明；验收不合格的，应当继续治理。</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440" w:firstLineChars="200"/>
        <w:jc w:val="both"/>
        <w:textAlignment w:val="auto"/>
        <w:outlineLvl w:val="9"/>
        <w:rPr>
          <w:rFonts w:hint="eastAsia" w:ascii="仿宋_GB2312" w:hAnsi="仿宋_GB2312" w:eastAsia="仿宋_GB2312"/>
          <w:b/>
          <w:color w:val="000000"/>
          <w:spacing w:val="0"/>
          <w:kern w:val="0"/>
          <w:sz w:val="32"/>
        </w:rPr>
      </w:pPr>
      <w:r>
        <w:rPr>
          <w:rFonts w:hint="eastAsia" w:ascii="仿宋_GB2312" w:hAnsi="仿宋_GB2312" w:eastAsia="仿宋_GB2312"/>
          <w:color w:val="000000"/>
          <w:spacing w:val="0"/>
          <w:kern w:val="0"/>
          <w:sz w:val="32"/>
        </w:rPr>
        <w:t>沙化土地治理经营权可以依法转让。</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440" w:firstLineChars="200"/>
        <w:jc w:val="both"/>
        <w:textAlignment w:val="auto"/>
        <w:outlineLvl w:val="9"/>
        <w:rPr>
          <w:rFonts w:hint="eastAsia" w:ascii="仿宋_GB2312" w:hAnsi="仿宋_GB2312" w:eastAsia="仿宋_GB2312"/>
          <w:b/>
          <w:color w:val="000000"/>
          <w:spacing w:val="0"/>
          <w:kern w:val="0"/>
          <w:sz w:val="32"/>
        </w:rPr>
      </w:pPr>
      <w:r>
        <w:rPr>
          <w:rFonts w:hint="eastAsia" w:ascii="黑体" w:hAnsi="黑体" w:eastAsia="黑体"/>
          <w:color w:val="000000"/>
          <w:spacing w:val="0"/>
          <w:kern w:val="0"/>
          <w:sz w:val="32"/>
        </w:rPr>
        <w:t>第三十二条</w:t>
      </w:r>
      <w:r>
        <w:rPr>
          <w:rFonts w:hint="eastAsia" w:ascii="仿宋_GB2312" w:hAnsi="仿宋_GB2312" w:eastAsia="仿宋_GB2312"/>
          <w:b/>
          <w:color w:val="000000"/>
          <w:spacing w:val="0"/>
          <w:kern w:val="0"/>
          <w:sz w:val="32"/>
        </w:rPr>
        <w:t>　</w:t>
      </w:r>
      <w:r>
        <w:rPr>
          <w:rFonts w:hint="eastAsia" w:ascii="仿宋_GB2312" w:hAnsi="仿宋_GB2312" w:eastAsia="仿宋_GB2312"/>
          <w:color w:val="000000"/>
          <w:spacing w:val="0"/>
          <w:kern w:val="0"/>
          <w:sz w:val="32"/>
        </w:rPr>
        <w:t>对在相对集中连片的沙化土地上营造的用材林达到一定规模的，实行限额采伐和木材生产计划单列，经县级以上人民政府林业草原管理部门批准后，自主经营、自主采伐、备案管理。</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440" w:firstLineChars="200"/>
        <w:jc w:val="both"/>
        <w:textAlignment w:val="auto"/>
        <w:outlineLvl w:val="9"/>
        <w:rPr>
          <w:rFonts w:hint="eastAsia" w:ascii="仿宋_GB2312" w:hAnsi="仿宋_GB2312" w:eastAsia="仿宋_GB2312"/>
          <w:b/>
          <w:color w:val="000000"/>
          <w:spacing w:val="0"/>
          <w:kern w:val="0"/>
          <w:sz w:val="32"/>
        </w:rPr>
      </w:pPr>
      <w:r>
        <w:rPr>
          <w:rFonts w:hint="eastAsia" w:ascii="黑体" w:hAnsi="黑体" w:eastAsia="黑体"/>
          <w:color w:val="000000"/>
          <w:spacing w:val="0"/>
          <w:kern w:val="0"/>
          <w:sz w:val="32"/>
        </w:rPr>
        <w:t>第三十三条</w:t>
      </w:r>
      <w:r>
        <w:rPr>
          <w:rFonts w:hint="eastAsia" w:ascii="仿宋_GB2312" w:hAnsi="仿宋_GB2312" w:eastAsia="仿宋_GB2312"/>
          <w:b/>
          <w:color w:val="000000"/>
          <w:spacing w:val="0"/>
          <w:kern w:val="0"/>
          <w:sz w:val="32"/>
        </w:rPr>
        <w:t>　</w:t>
      </w:r>
      <w:r>
        <w:rPr>
          <w:rFonts w:hint="eastAsia" w:ascii="仿宋_GB2312" w:hAnsi="仿宋_GB2312" w:eastAsia="仿宋_GB2312"/>
          <w:color w:val="000000"/>
          <w:spacing w:val="0"/>
          <w:kern w:val="0"/>
          <w:sz w:val="32"/>
        </w:rPr>
        <w:t>沙化土地范围内的生态公益林地的保护费用，应当纳入县级以上人民政府森林生态效益补偿的范围，享受国家森林生态效益补偿。</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440" w:firstLineChars="200"/>
        <w:jc w:val="both"/>
        <w:textAlignment w:val="auto"/>
        <w:outlineLvl w:val="9"/>
        <w:rPr>
          <w:rFonts w:hint="eastAsia" w:ascii="仿宋_GB2312" w:hAnsi="仿宋_GB2312" w:eastAsia="仿宋_GB2312"/>
          <w:b/>
          <w:color w:val="000000"/>
          <w:spacing w:val="0"/>
          <w:kern w:val="0"/>
          <w:sz w:val="32"/>
        </w:rPr>
      </w:pPr>
      <w:r>
        <w:rPr>
          <w:rFonts w:hint="eastAsia" w:ascii="黑体" w:hAnsi="黑体" w:eastAsia="黑体"/>
          <w:color w:val="000000"/>
          <w:spacing w:val="0"/>
          <w:kern w:val="0"/>
          <w:sz w:val="32"/>
        </w:rPr>
        <w:t>第三十四条</w:t>
      </w:r>
      <w:r>
        <w:rPr>
          <w:rFonts w:hint="eastAsia" w:ascii="仿宋_GB2312" w:hAnsi="仿宋_GB2312" w:eastAsia="仿宋_GB2312"/>
          <w:b/>
          <w:color w:val="000000"/>
          <w:spacing w:val="0"/>
          <w:kern w:val="0"/>
          <w:sz w:val="32"/>
        </w:rPr>
        <w:t>　</w:t>
      </w:r>
      <w:r>
        <w:rPr>
          <w:rFonts w:hint="eastAsia" w:ascii="仿宋_GB2312" w:hAnsi="仿宋_GB2312" w:eastAsia="仿宋_GB2312"/>
          <w:color w:val="000000"/>
          <w:spacing w:val="0"/>
          <w:kern w:val="0"/>
          <w:sz w:val="32"/>
        </w:rPr>
        <w:t>县级人民政府应当建立健全植被管护制度，根据需要在乡（镇）、村建立植被管护组织，确定管护人员，明确管护责任，严格保护植被。</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440" w:firstLineChars="200"/>
        <w:jc w:val="both"/>
        <w:textAlignment w:val="auto"/>
        <w:outlineLvl w:val="9"/>
        <w:rPr>
          <w:rFonts w:hint="eastAsia" w:ascii="仿宋_GB2312" w:hAnsi="仿宋_GB2312" w:eastAsia="仿宋_GB2312"/>
          <w:b/>
          <w:color w:val="000000"/>
          <w:spacing w:val="0"/>
          <w:kern w:val="0"/>
          <w:sz w:val="32"/>
        </w:rPr>
      </w:pPr>
      <w:r>
        <w:rPr>
          <w:rFonts w:hint="eastAsia" w:ascii="黑体" w:hAnsi="黑体" w:eastAsia="黑体"/>
          <w:color w:val="000000"/>
          <w:spacing w:val="0"/>
          <w:kern w:val="0"/>
          <w:sz w:val="32"/>
        </w:rPr>
        <w:t>第三十五条</w:t>
      </w:r>
      <w:r>
        <w:rPr>
          <w:rFonts w:hint="eastAsia" w:ascii="仿宋_GB2312" w:hAnsi="仿宋_GB2312" w:eastAsia="仿宋_GB2312"/>
          <w:b/>
          <w:color w:val="000000"/>
          <w:spacing w:val="0"/>
          <w:kern w:val="0"/>
          <w:sz w:val="32"/>
        </w:rPr>
        <w:t>　</w:t>
      </w:r>
      <w:r>
        <w:rPr>
          <w:rFonts w:hint="eastAsia" w:ascii="仿宋_GB2312" w:hAnsi="仿宋_GB2312" w:eastAsia="仿宋_GB2312"/>
          <w:color w:val="000000"/>
          <w:spacing w:val="0"/>
          <w:kern w:val="0"/>
          <w:sz w:val="32"/>
        </w:rPr>
        <w:t>因保护生态的特殊要求，沙化土地治理后经批准划为自然保护区、沙化土地封禁保护区或者生态公益林的，批准机关应当按照有关规定给予治理者经济补偿。</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440" w:firstLineChars="200"/>
        <w:jc w:val="both"/>
        <w:textAlignment w:val="auto"/>
        <w:outlineLvl w:val="9"/>
        <w:rPr>
          <w:rFonts w:hint="eastAsia" w:ascii="仿宋_GB2312" w:hAnsi="仿宋_GB2312" w:eastAsia="仿宋_GB2312"/>
          <w:b/>
          <w:color w:val="000000"/>
          <w:spacing w:val="0"/>
          <w:kern w:val="0"/>
          <w:sz w:val="32"/>
        </w:rPr>
      </w:pPr>
      <w:r>
        <w:rPr>
          <w:rFonts w:hint="eastAsia" w:ascii="黑体" w:hAnsi="黑体" w:eastAsia="黑体"/>
          <w:color w:val="000000"/>
          <w:spacing w:val="0"/>
          <w:kern w:val="0"/>
          <w:sz w:val="32"/>
        </w:rPr>
        <w:t>第三十六条</w:t>
      </w:r>
      <w:r>
        <w:rPr>
          <w:rFonts w:hint="eastAsia" w:ascii="仿宋_GB2312" w:hAnsi="仿宋_GB2312" w:eastAsia="仿宋_GB2312"/>
          <w:b/>
          <w:color w:val="000000"/>
          <w:spacing w:val="0"/>
          <w:kern w:val="0"/>
          <w:sz w:val="32"/>
        </w:rPr>
        <w:t>　</w:t>
      </w:r>
      <w:r>
        <w:rPr>
          <w:rFonts w:hint="eastAsia" w:ascii="仿宋_GB2312" w:hAnsi="仿宋_GB2312" w:eastAsia="仿宋_GB2312"/>
          <w:color w:val="000000"/>
          <w:spacing w:val="0"/>
          <w:kern w:val="0"/>
          <w:sz w:val="32"/>
        </w:rPr>
        <w:t>各级人民政府应当鼓励和支持单位、个人在适宜开发利用的沙化土地区域开发沙化土地资源，种植沙生林果、沙生药材、固沙牧草等沙生经济作物；鼓励发展沙区特色种植业、养殖业、加工业、旅游业和其他沙产业。</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440" w:firstLineChars="200"/>
        <w:jc w:val="both"/>
        <w:textAlignment w:val="auto"/>
        <w:outlineLvl w:val="9"/>
        <w:rPr>
          <w:rFonts w:hint="eastAsia" w:ascii="仿宋_GB2312" w:hAnsi="仿宋_GB2312" w:eastAsia="仿宋_GB2312"/>
          <w:color w:val="000000"/>
          <w:spacing w:val="0"/>
          <w:kern w:val="0"/>
          <w:sz w:val="32"/>
        </w:rPr>
      </w:pPr>
      <w:r>
        <w:rPr>
          <w:rFonts w:hint="eastAsia" w:ascii="黑体" w:hAnsi="黑体" w:eastAsia="黑体"/>
          <w:color w:val="000000"/>
          <w:spacing w:val="0"/>
          <w:kern w:val="0"/>
          <w:sz w:val="32"/>
        </w:rPr>
        <w:t>第三十七条</w:t>
      </w:r>
      <w:r>
        <w:rPr>
          <w:rFonts w:hint="eastAsia" w:ascii="仿宋_GB2312" w:hAnsi="仿宋_GB2312" w:eastAsia="仿宋_GB2312"/>
          <w:b/>
          <w:color w:val="000000"/>
          <w:spacing w:val="0"/>
          <w:kern w:val="0"/>
          <w:sz w:val="32"/>
        </w:rPr>
        <w:t>　</w:t>
      </w:r>
      <w:r>
        <w:rPr>
          <w:rFonts w:hint="eastAsia" w:ascii="仿宋_GB2312" w:hAnsi="仿宋_GB2312" w:eastAsia="仿宋_GB2312"/>
          <w:color w:val="000000"/>
          <w:spacing w:val="0"/>
          <w:kern w:val="0"/>
          <w:sz w:val="32"/>
        </w:rPr>
        <w:t>自治区人民政府应当对节水灌溉、沙地旱作农业、沙区能源、沙生经济作物等方面的科学研究与技术推广给予资金补助、依法减免税费等优惠。</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440" w:firstLineChars="200"/>
        <w:jc w:val="left"/>
        <w:textAlignment w:val="auto"/>
        <w:outlineLvl w:val="9"/>
        <w:rPr>
          <w:rFonts w:hint="eastAsia" w:ascii="仿宋_GB2312" w:hAnsi="仿宋_GB2312" w:eastAsia="仿宋_GB2312"/>
          <w:color w:val="000000"/>
          <w:spacing w:val="0"/>
          <w:kern w:val="0"/>
          <w:sz w:val="32"/>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outlineLvl w:val="9"/>
        <w:rPr>
          <w:rFonts w:hint="eastAsia" w:ascii="黑体" w:hAnsi="黑体" w:eastAsia="黑体"/>
          <w:color w:val="000000"/>
          <w:spacing w:val="0"/>
          <w:kern w:val="0"/>
          <w:sz w:val="32"/>
        </w:rPr>
      </w:pPr>
      <w:r>
        <w:rPr>
          <w:rFonts w:hint="eastAsia" w:ascii="黑体" w:hAnsi="黑体" w:eastAsia="黑体"/>
          <w:color w:val="000000"/>
          <w:spacing w:val="0"/>
          <w:kern w:val="0"/>
          <w:sz w:val="32"/>
        </w:rPr>
        <w:t>第五章　法律责任</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outlineLvl w:val="9"/>
        <w:rPr>
          <w:rFonts w:hint="eastAsia" w:ascii="黑体" w:hAnsi="黑体" w:eastAsia="黑体"/>
          <w:color w:val="000000"/>
          <w:spacing w:val="0"/>
          <w:kern w:val="0"/>
          <w:sz w:val="32"/>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440" w:firstLineChars="200"/>
        <w:jc w:val="both"/>
        <w:textAlignment w:val="auto"/>
        <w:outlineLvl w:val="9"/>
        <w:rPr>
          <w:rFonts w:hint="eastAsia" w:ascii="仿宋_GB2312" w:hAnsi="仿宋_GB2312" w:eastAsia="仿宋_GB2312"/>
          <w:b/>
          <w:color w:val="000000"/>
          <w:spacing w:val="0"/>
          <w:kern w:val="0"/>
          <w:sz w:val="32"/>
        </w:rPr>
      </w:pPr>
      <w:r>
        <w:rPr>
          <w:rFonts w:hint="eastAsia" w:ascii="黑体" w:hAnsi="黑体" w:eastAsia="黑体"/>
          <w:color w:val="000000"/>
          <w:spacing w:val="0"/>
          <w:kern w:val="0"/>
          <w:sz w:val="32"/>
        </w:rPr>
        <w:t>第三十八条</w:t>
      </w:r>
      <w:r>
        <w:rPr>
          <w:rFonts w:hint="eastAsia" w:ascii="仿宋_GB2312" w:hAnsi="仿宋_GB2312" w:eastAsia="仿宋_GB2312"/>
          <w:b/>
          <w:color w:val="000000"/>
          <w:spacing w:val="0"/>
          <w:kern w:val="0"/>
          <w:sz w:val="32"/>
        </w:rPr>
        <w:t>　</w:t>
      </w:r>
      <w:r>
        <w:rPr>
          <w:rFonts w:hint="eastAsia" w:ascii="仿宋_GB2312" w:hAnsi="仿宋_GB2312" w:eastAsia="仿宋_GB2312"/>
          <w:color w:val="000000"/>
          <w:spacing w:val="0"/>
          <w:kern w:val="0"/>
          <w:sz w:val="32"/>
        </w:rPr>
        <w:t>违反本条例第十二条第二款、第十三条第一款、第十四条规定的，由县级以上人民政府有关行政管理部门按照各自职责，责令停止违法行为，没收违法所得，限期恢复植被；情节严重的，处以被破坏沙化土地植被面积每平方米五元以上十元以下的罚款；构成犯罪的，依法追究刑事责任。</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440" w:firstLineChars="200"/>
        <w:jc w:val="both"/>
        <w:textAlignment w:val="auto"/>
        <w:outlineLvl w:val="9"/>
        <w:rPr>
          <w:rFonts w:hint="eastAsia" w:ascii="仿宋_GB2312" w:hAnsi="仿宋_GB2312" w:eastAsia="仿宋_GB2312"/>
          <w:b/>
          <w:color w:val="000000"/>
          <w:spacing w:val="0"/>
          <w:kern w:val="0"/>
          <w:sz w:val="32"/>
        </w:rPr>
      </w:pPr>
      <w:r>
        <w:rPr>
          <w:rFonts w:hint="eastAsia" w:ascii="黑体" w:hAnsi="黑体" w:eastAsia="黑体"/>
          <w:color w:val="000000"/>
          <w:spacing w:val="0"/>
          <w:kern w:val="0"/>
          <w:sz w:val="32"/>
        </w:rPr>
        <w:t>第三十九条</w:t>
      </w:r>
      <w:r>
        <w:rPr>
          <w:rFonts w:hint="eastAsia" w:ascii="仿宋_GB2312" w:hAnsi="仿宋_GB2312" w:eastAsia="仿宋_GB2312"/>
          <w:b/>
          <w:color w:val="000000"/>
          <w:spacing w:val="0"/>
          <w:kern w:val="0"/>
          <w:sz w:val="32"/>
        </w:rPr>
        <w:t>　</w:t>
      </w:r>
      <w:r>
        <w:rPr>
          <w:rFonts w:hint="eastAsia" w:ascii="仿宋_GB2312" w:hAnsi="仿宋_GB2312" w:eastAsia="仿宋_GB2312"/>
          <w:color w:val="000000"/>
          <w:spacing w:val="0"/>
          <w:kern w:val="0"/>
          <w:sz w:val="32"/>
        </w:rPr>
        <w:t>违反本条例第十六条规定，批准在沙漠边缘地带和林地、草原开垦耕地的，对直接负责的主管人员和其他直接责任人员，由相关有权机关依法给予处分。</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440" w:firstLineChars="200"/>
        <w:jc w:val="both"/>
        <w:textAlignment w:val="auto"/>
        <w:outlineLvl w:val="9"/>
        <w:rPr>
          <w:rFonts w:hint="eastAsia" w:ascii="仿宋_GB2312" w:hAnsi="仿宋_GB2312" w:eastAsia="仿宋_GB2312"/>
          <w:b/>
          <w:color w:val="000000"/>
          <w:spacing w:val="0"/>
          <w:kern w:val="0"/>
          <w:sz w:val="32"/>
        </w:rPr>
      </w:pPr>
      <w:r>
        <w:rPr>
          <w:rFonts w:hint="eastAsia" w:ascii="黑体" w:hAnsi="黑体" w:eastAsia="黑体"/>
          <w:color w:val="000000"/>
          <w:spacing w:val="0"/>
          <w:kern w:val="0"/>
          <w:sz w:val="32"/>
        </w:rPr>
        <w:t>第四十条</w:t>
      </w:r>
      <w:r>
        <w:rPr>
          <w:rFonts w:hint="eastAsia" w:ascii="仿宋_GB2312" w:hAnsi="仿宋_GB2312" w:eastAsia="仿宋_GB2312"/>
          <w:b/>
          <w:color w:val="000000"/>
          <w:spacing w:val="0"/>
          <w:kern w:val="0"/>
          <w:sz w:val="32"/>
        </w:rPr>
        <w:t>　</w:t>
      </w:r>
      <w:r>
        <w:rPr>
          <w:rFonts w:hint="eastAsia" w:ascii="仿宋_GB2312" w:hAnsi="仿宋_GB2312" w:eastAsia="仿宋_GB2312"/>
          <w:color w:val="000000"/>
          <w:spacing w:val="0"/>
          <w:kern w:val="0"/>
          <w:sz w:val="32"/>
        </w:rPr>
        <w:t>违反本条例第十七条第一款规定，除抚育更新性质的采伐外，批准采伐防风固沙林网、林带的，对直接负责的主管人员和其他直接责任人员，由相关有权机关依法给予处分。</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440" w:firstLineChars="200"/>
        <w:jc w:val="both"/>
        <w:textAlignment w:val="auto"/>
        <w:outlineLvl w:val="9"/>
        <w:rPr>
          <w:rFonts w:hint="eastAsia" w:ascii="仿宋_GB2312" w:hAnsi="仿宋_GB2312" w:eastAsia="仿宋_GB2312"/>
          <w:b/>
          <w:color w:val="000000"/>
          <w:spacing w:val="0"/>
          <w:kern w:val="0"/>
          <w:sz w:val="32"/>
        </w:rPr>
      </w:pPr>
      <w:r>
        <w:rPr>
          <w:rFonts w:hint="eastAsia" w:ascii="黑体" w:hAnsi="黑体" w:eastAsia="黑体"/>
          <w:color w:val="000000"/>
          <w:spacing w:val="0"/>
          <w:kern w:val="0"/>
          <w:sz w:val="32"/>
        </w:rPr>
        <w:t>第四十一条</w:t>
      </w:r>
      <w:r>
        <w:rPr>
          <w:rFonts w:hint="eastAsia" w:ascii="仿宋_GB2312" w:hAnsi="仿宋_GB2312" w:eastAsia="仿宋_GB2312"/>
          <w:b/>
          <w:color w:val="000000"/>
          <w:spacing w:val="0"/>
          <w:kern w:val="0"/>
          <w:sz w:val="32"/>
        </w:rPr>
        <w:t>　</w:t>
      </w:r>
      <w:r>
        <w:rPr>
          <w:rFonts w:hint="eastAsia" w:ascii="仿宋_GB2312" w:hAnsi="仿宋_GB2312" w:eastAsia="仿宋_GB2312"/>
          <w:color w:val="000000"/>
          <w:spacing w:val="0"/>
          <w:kern w:val="0"/>
          <w:sz w:val="32"/>
        </w:rPr>
        <w:t>违反本条例第三十一条第一款、第二款规定，不按照治理方案进行治理，或者经验收不合格又不按要求继续治理的，由县级以上人民政府有关行政管理部门责令限期改正；情节严重的，可以处相当于治理费用一倍以上三倍以下的罚款。</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440" w:firstLineChars="200"/>
        <w:jc w:val="both"/>
        <w:textAlignment w:val="auto"/>
        <w:outlineLvl w:val="9"/>
        <w:rPr>
          <w:rFonts w:hint="eastAsia" w:ascii="仿宋_GB2312" w:hAnsi="仿宋_GB2312" w:eastAsia="仿宋_GB2312"/>
          <w:color w:val="000000"/>
          <w:spacing w:val="0"/>
          <w:kern w:val="0"/>
          <w:sz w:val="32"/>
        </w:rPr>
      </w:pPr>
      <w:r>
        <w:rPr>
          <w:rFonts w:hint="eastAsia" w:ascii="黑体" w:hAnsi="黑体" w:eastAsia="黑体"/>
          <w:color w:val="000000"/>
          <w:spacing w:val="0"/>
          <w:kern w:val="0"/>
          <w:sz w:val="32"/>
        </w:rPr>
        <w:t>第四十二条</w:t>
      </w:r>
      <w:r>
        <w:rPr>
          <w:rFonts w:hint="eastAsia" w:ascii="仿宋_GB2312" w:hAnsi="仿宋_GB2312" w:eastAsia="仿宋_GB2312"/>
          <w:b/>
          <w:color w:val="000000"/>
          <w:spacing w:val="0"/>
          <w:kern w:val="0"/>
          <w:sz w:val="32"/>
        </w:rPr>
        <w:t>　</w:t>
      </w:r>
      <w:r>
        <w:rPr>
          <w:rFonts w:hint="eastAsia" w:ascii="仿宋_GB2312" w:hAnsi="仿宋_GB2312" w:eastAsia="仿宋_GB2312"/>
          <w:color w:val="000000"/>
          <w:spacing w:val="0"/>
          <w:kern w:val="0"/>
          <w:sz w:val="32"/>
        </w:rPr>
        <w:t>当事人对行政处罚决定不服的，可以依法申请行政复议或者提起行政诉讼。</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440" w:firstLineChars="200"/>
        <w:jc w:val="both"/>
        <w:textAlignment w:val="auto"/>
        <w:outlineLvl w:val="9"/>
        <w:rPr>
          <w:rFonts w:hint="eastAsia" w:ascii="仿宋_GB2312" w:hAnsi="仿宋_GB2312" w:eastAsia="仿宋_GB2312"/>
          <w:color w:val="000000"/>
          <w:spacing w:val="0"/>
          <w:kern w:val="0"/>
          <w:sz w:val="32"/>
        </w:rPr>
      </w:pPr>
      <w:r>
        <w:rPr>
          <w:rFonts w:hint="eastAsia" w:ascii="黑体" w:hAnsi="黑体" w:eastAsia="黑体"/>
          <w:color w:val="000000"/>
          <w:spacing w:val="0"/>
          <w:kern w:val="0"/>
          <w:sz w:val="32"/>
        </w:rPr>
        <w:t>第四十三条</w:t>
      </w:r>
      <w:r>
        <w:rPr>
          <w:rFonts w:hint="eastAsia" w:ascii="仿宋_GB2312" w:hAnsi="仿宋_GB2312" w:eastAsia="仿宋_GB2312"/>
          <w:color w:val="000000"/>
          <w:spacing w:val="0"/>
          <w:kern w:val="0"/>
          <w:sz w:val="32"/>
        </w:rPr>
        <w:t>　防沙治沙监督管理人员滥用职权、玩忽职守、徇私舞弊的，依法给予处分；构成犯罪的，依法追究刑事责任。</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640" w:firstLineChars="200"/>
        <w:jc w:val="left"/>
        <w:textAlignment w:val="auto"/>
        <w:outlineLvl w:val="9"/>
        <w:rPr>
          <w:rFonts w:hint="eastAsia" w:ascii="仿宋_GB2312" w:hAnsi="仿宋_GB2312" w:eastAsia="仿宋_GB2312"/>
          <w:color w:val="000000"/>
          <w:spacing w:val="0"/>
          <w:kern w:val="0"/>
          <w:sz w:val="32"/>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olor w:val="000000"/>
          <w:spacing w:val="0"/>
          <w:kern w:val="0"/>
          <w:sz w:val="32"/>
        </w:rPr>
      </w:pPr>
      <w:r>
        <w:rPr>
          <w:rFonts w:hint="eastAsia" w:ascii="黑体" w:hAnsi="黑体" w:eastAsia="黑体"/>
          <w:color w:val="000000"/>
          <w:spacing w:val="0"/>
          <w:kern w:val="0"/>
          <w:sz w:val="32"/>
        </w:rPr>
        <w:t>第六章　附则</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640" w:firstLineChars="200"/>
        <w:jc w:val="left"/>
        <w:textAlignment w:val="auto"/>
        <w:outlineLvl w:val="9"/>
        <w:rPr>
          <w:rFonts w:hint="eastAsia" w:ascii="黑体" w:hAnsi="黑体" w:eastAsia="黑体"/>
          <w:color w:val="000000"/>
          <w:spacing w:val="0"/>
          <w:kern w:val="0"/>
          <w:sz w:val="32"/>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440" w:firstLineChars="200"/>
        <w:jc w:val="both"/>
        <w:textAlignment w:val="auto"/>
        <w:outlineLvl w:val="9"/>
        <w:rPr>
          <w:rFonts w:hint="eastAsia" w:ascii="仿宋_GB2312" w:hAnsi="仿宋_GB2312" w:eastAsia="仿宋_GB2312"/>
          <w:color w:val="000000"/>
          <w:spacing w:val="0"/>
          <w:kern w:val="0"/>
          <w:sz w:val="32"/>
        </w:rPr>
      </w:pPr>
      <w:r>
        <w:rPr>
          <w:rFonts w:hint="eastAsia" w:ascii="黑体" w:hAnsi="黑体" w:eastAsia="黑体"/>
          <w:color w:val="000000"/>
          <w:spacing w:val="0"/>
          <w:kern w:val="0"/>
          <w:sz w:val="32"/>
        </w:rPr>
        <w:t>第四十四条</w:t>
      </w:r>
      <w:r>
        <w:rPr>
          <w:rFonts w:hint="eastAsia" w:ascii="仿宋_GB2312" w:hAnsi="仿宋_GB2312" w:eastAsia="仿宋_GB2312"/>
          <w:b/>
          <w:color w:val="000000"/>
          <w:spacing w:val="0"/>
          <w:kern w:val="0"/>
          <w:sz w:val="32"/>
        </w:rPr>
        <w:t>　</w:t>
      </w:r>
      <w:r>
        <w:rPr>
          <w:rFonts w:hint="eastAsia" w:ascii="仿宋_GB2312" w:hAnsi="仿宋_GB2312" w:eastAsia="仿宋_GB2312"/>
          <w:color w:val="000000"/>
          <w:spacing w:val="0"/>
          <w:kern w:val="0"/>
          <w:sz w:val="32"/>
        </w:rPr>
        <w:t>本条例自2010年12月1日起施行。</w:t>
      </w:r>
    </w:p>
    <w:p>
      <w:pPr>
        <w:pStyle w:val="2"/>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0" w:firstLineChars="0"/>
        <w:jc w:val="both"/>
        <w:textAlignment w:val="auto"/>
        <w:outlineLvl w:val="9"/>
        <w:rPr>
          <w:color w:val="000000"/>
        </w:rPr>
      </w:pPr>
    </w:p>
    <w:sectPr>
      <w:headerReference r:id="rId3" w:type="default"/>
      <w:footerReference r:id="rId4" w:type="default"/>
      <w:pgSz w:w="11906" w:h="16838"/>
      <w:pgMar w:top="1984" w:right="1587" w:bottom="1474" w:left="1587" w:header="851" w:footer="1247"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roman"/>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51" o:spid="_x0000_s2051"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weight="1.2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dit="forms"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C3C1BC9"/>
    <w:rsid w:val="007F0A1D"/>
    <w:rsid w:val="02795488"/>
    <w:rsid w:val="09332E25"/>
    <w:rsid w:val="0AE90734"/>
    <w:rsid w:val="0B320F49"/>
    <w:rsid w:val="105F043E"/>
    <w:rsid w:val="19116E8B"/>
    <w:rsid w:val="211A7691"/>
    <w:rsid w:val="244E2DD7"/>
    <w:rsid w:val="2A015655"/>
    <w:rsid w:val="2BDF40BD"/>
    <w:rsid w:val="2F1521AA"/>
    <w:rsid w:val="3B694B7A"/>
    <w:rsid w:val="3E7A4A84"/>
    <w:rsid w:val="409B20E6"/>
    <w:rsid w:val="51BB3DF3"/>
    <w:rsid w:val="5251011C"/>
    <w:rsid w:val="59A67D01"/>
    <w:rsid w:val="65FB4978"/>
    <w:rsid w:val="67AC3179"/>
    <w:rsid w:val="6A1330D0"/>
    <w:rsid w:val="6C20636E"/>
    <w:rsid w:val="72924BBA"/>
    <w:rsid w:val="751F2210"/>
    <w:rsid w:val="7BC5623F"/>
    <w:rsid w:val="7C3C1BC9"/>
    <w:rsid w:val="7FBB46F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lang w:val="en-US" w:eastAsia="zh-CN"/>
    </w:rPr>
  </w:style>
  <w:style w:type="character" w:default="1" w:styleId="6">
    <w:name w:val="Default Paragraph Font"/>
    <w:link w:val="7"/>
    <w:unhideWhenUsed/>
    <w:uiPriority w:val="0"/>
    <w:rPr>
      <w:rFonts w:ascii="Tahoma" w:hAnsi="Tahoma"/>
      <w:sz w:val="24"/>
    </w:rPr>
  </w:style>
  <w:style w:type="table" w:default="1" w:styleId="9">
    <w:name w:val="Normal Table"/>
    <w:unhideWhenUsed/>
    <w:uiPriority w:val="99"/>
    <w:tblPr>
      <w:tblStyle w:val="9"/>
      <w:tblLayout w:type="fixed"/>
      <w:tblCellMar>
        <w:top w:w="0" w:type="dxa"/>
        <w:left w:w="108" w:type="dxa"/>
        <w:bottom w:w="0" w:type="dxa"/>
        <w:right w:w="108" w:type="dxa"/>
      </w:tblCellMar>
    </w:tblPr>
    <w:tcPr>
      <w:textDirection w:val="lrTb"/>
    </w:tcPr>
  </w:style>
  <w:style w:type="paragraph" w:styleId="2">
    <w:name w:val="Body Text"/>
    <w:basedOn w:val="1"/>
    <w:unhideWhenUsed/>
    <w:uiPriority w:val="99"/>
    <w:rPr>
      <w:rFonts w:ascii="Garamond" w:hAnsi="Garamond" w:cs="Garamond"/>
      <w:sz w:val="32"/>
    </w:rPr>
  </w:style>
  <w:style w:type="paragraph" w:styleId="3">
    <w:name w:val="footer"/>
    <w:basedOn w:val="1"/>
    <w:unhideWhenUsed/>
    <w:uiPriority w:val="0"/>
    <w:pPr>
      <w:tabs>
        <w:tab w:val="center" w:pos="4153"/>
        <w:tab w:val="right" w:pos="8306"/>
      </w:tabs>
      <w:snapToGrid w:val="0"/>
      <w:jc w:val="left"/>
    </w:pPr>
    <w:rPr>
      <w:sz w:val="18"/>
      <w:szCs w:val="18"/>
    </w:rPr>
  </w:style>
  <w:style w:type="paragraph" w:styleId="4">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customStyle="1" w:styleId="7">
    <w:name w:val=" Char"/>
    <w:basedOn w:val="1"/>
    <w:link w:val="6"/>
    <w:qFormat/>
    <w:uiPriority w:val="0"/>
    <w:rPr>
      <w:rFonts w:ascii="Tahoma" w:hAnsi="Tahoma"/>
      <w:sz w:val="24"/>
    </w:rPr>
  </w:style>
  <w:style w:type="character" w:styleId="8">
    <w:name w:val="Strong"/>
    <w:basedOn w:val="6"/>
    <w:qFormat/>
    <w:uiPriority w:val="22"/>
    <w:rPr>
      <w:b/>
      <w:bCs/>
    </w:rPr>
  </w:style>
  <w:style w:type="paragraph" w:customStyle="1" w:styleId="10">
    <w:name w:val="HTML 预设格式 Char"/>
    <w:basedOn w:val="1"/>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11">
    <w:name w:val="p0"/>
    <w:basedOn w:val="1"/>
    <w:uiPriority w:val="0"/>
    <w:pPr>
      <w:widowControl/>
      <w:spacing w:before="100" w:beforeAutospacing="1" w:after="100" w:afterAutospacing="1"/>
      <w:jc w:val="left"/>
    </w:pPr>
    <w:rPr>
      <w:rFonts w:ascii="宋体" w:hAnsi="宋体" w:cs="宋体"/>
      <w:kern w:val="0"/>
      <w:sz w:val="24"/>
    </w:rPr>
  </w:style>
  <w:style w:type="character" w:customStyle="1" w:styleId="12">
    <w:name w:val="listblackfont14h30"/>
    <w:basedOn w:val="6"/>
    <w:uiPriority w:val="0"/>
  </w:style>
  <w:style w:type="character" w:customStyle="1" w:styleId="13">
    <w:name w:val="listblackfont20h30heiti"/>
    <w:basedOn w:val="6"/>
    <w:uiPriority w:val="0"/>
  </w:style>
  <w:style w:type="character" w:customStyle="1" w:styleId="14">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2019-03-17T02:23:00Z</dcterms:created>
  <dc:creator>Win</dc:creator>
  <cp:lastModifiedBy>Win</cp:lastModifiedBy>
  <cp:lastPrinted>2019-04-09T06:34:54Z</cp:lastPrinted>
  <dcterms:modified xsi:type="dcterms:W3CDTF">2019-04-23T06:38:45Z</dcterms:modified>
  <dc:title>中华人民共和国主席令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